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74DF9" w14:textId="77777777" w:rsidR="0003394F" w:rsidRPr="00720A49" w:rsidRDefault="0003394F" w:rsidP="0003394F">
      <w:pPr>
        <w:spacing w:after="0" w:line="240" w:lineRule="auto"/>
        <w:rPr>
          <w:rFonts w:ascii="Aptos" w:hAnsi="Aptos" w:cs="Arial"/>
        </w:rPr>
      </w:pPr>
    </w:p>
    <w:p w14:paraId="45C723F8" w14:textId="77777777" w:rsidR="0003394F" w:rsidRPr="00720A49" w:rsidRDefault="0003394F" w:rsidP="0003394F">
      <w:pPr>
        <w:spacing w:after="0" w:line="240" w:lineRule="auto"/>
        <w:jc w:val="center"/>
        <w:rPr>
          <w:rFonts w:ascii="Aptos" w:hAnsi="Aptos" w:cs="Arial"/>
          <w:sz w:val="36"/>
        </w:rPr>
      </w:pPr>
      <w:r w:rsidRPr="00720A49">
        <w:rPr>
          <w:rFonts w:ascii="Aptos" w:hAnsi="Aptos" w:cs="Arial"/>
          <w:b/>
          <w:sz w:val="36"/>
        </w:rPr>
        <w:t>A Framework for Determining</w:t>
      </w:r>
    </w:p>
    <w:p w14:paraId="03BBCB1F" w14:textId="77777777" w:rsidR="0003394F" w:rsidRPr="00720A49" w:rsidRDefault="0003394F" w:rsidP="0003394F">
      <w:pPr>
        <w:spacing w:after="0" w:line="240" w:lineRule="auto"/>
        <w:jc w:val="center"/>
        <w:rPr>
          <w:rFonts w:ascii="Aptos" w:hAnsi="Aptos" w:cs="Arial"/>
          <w:b/>
          <w:sz w:val="36"/>
        </w:rPr>
      </w:pPr>
      <w:r w:rsidRPr="00720A49">
        <w:rPr>
          <w:rFonts w:ascii="Aptos" w:hAnsi="Aptos" w:cs="Arial"/>
          <w:b/>
          <w:sz w:val="36"/>
        </w:rPr>
        <w:t>The Costs and Benefits of Renewable Resources</w:t>
      </w:r>
    </w:p>
    <w:p w14:paraId="566C1890" w14:textId="7010DE7E" w:rsidR="0003394F" w:rsidRPr="00720A49" w:rsidRDefault="00F0585A" w:rsidP="0003394F">
      <w:pPr>
        <w:spacing w:after="0" w:line="240" w:lineRule="auto"/>
        <w:jc w:val="center"/>
        <w:rPr>
          <w:rFonts w:ascii="Aptos" w:hAnsi="Aptos" w:cs="Arial"/>
          <w:b/>
          <w:sz w:val="36"/>
        </w:rPr>
      </w:pPr>
      <w:r w:rsidRPr="00720A49">
        <w:rPr>
          <w:rFonts w:ascii="Aptos" w:hAnsi="Aptos" w:cs="Arial"/>
          <w:b/>
          <w:sz w:val="36"/>
        </w:rPr>
        <w:t>For Southern Company</w:t>
      </w:r>
    </w:p>
    <w:p w14:paraId="0BF71DEA" w14:textId="77777777" w:rsidR="0003394F" w:rsidRPr="00720A49" w:rsidRDefault="0003394F" w:rsidP="0003394F">
      <w:pPr>
        <w:spacing w:after="0" w:line="240" w:lineRule="auto"/>
        <w:jc w:val="center"/>
        <w:rPr>
          <w:rFonts w:ascii="Aptos" w:hAnsi="Aptos" w:cs="Arial"/>
          <w:b/>
        </w:rPr>
      </w:pPr>
    </w:p>
    <w:p w14:paraId="22434611" w14:textId="2401FA47" w:rsidR="0003394F" w:rsidRPr="00720A49" w:rsidRDefault="0003394F" w:rsidP="0003394F">
      <w:pPr>
        <w:spacing w:after="0" w:line="240" w:lineRule="auto"/>
        <w:jc w:val="center"/>
        <w:rPr>
          <w:rFonts w:ascii="Aptos" w:hAnsi="Aptos" w:cs="Arial"/>
          <w:b/>
        </w:rPr>
      </w:pPr>
      <w:r w:rsidRPr="00720A49">
        <w:rPr>
          <w:rFonts w:ascii="Aptos" w:hAnsi="Aptos" w:cs="Arial"/>
          <w:b/>
        </w:rPr>
        <w:t xml:space="preserve">Revised: </w:t>
      </w:r>
      <w:r w:rsidR="003D5E81" w:rsidRPr="00720A49">
        <w:rPr>
          <w:rFonts w:ascii="Aptos" w:hAnsi="Aptos" w:cs="Arial"/>
          <w:b/>
        </w:rPr>
        <w:t>January 2025</w:t>
      </w:r>
    </w:p>
    <w:p w14:paraId="089DEE33" w14:textId="77777777" w:rsidR="006C6495" w:rsidRPr="00720A49" w:rsidRDefault="006C6495" w:rsidP="006C6495">
      <w:pPr>
        <w:spacing w:after="0" w:line="240" w:lineRule="auto"/>
        <w:jc w:val="center"/>
        <w:rPr>
          <w:rFonts w:ascii="Aptos" w:hAnsi="Aptos" w:cs="Arial"/>
          <w:b/>
        </w:rPr>
      </w:pPr>
      <w:r w:rsidRPr="00720A49">
        <w:rPr>
          <w:rFonts w:ascii="Aptos" w:hAnsi="Aptos" w:cs="Arial"/>
          <w:b/>
        </w:rPr>
        <w:t>TABLE OF CONTENTS</w:t>
      </w:r>
    </w:p>
    <w:p w14:paraId="2DC7CEE7" w14:textId="77777777" w:rsidR="006C6495" w:rsidRPr="00720A49" w:rsidRDefault="006C6495" w:rsidP="006C6495">
      <w:pPr>
        <w:spacing w:line="240" w:lineRule="auto"/>
        <w:rPr>
          <w:rFonts w:ascii="Aptos" w:hAnsi="Aptos" w:cs="Arial"/>
        </w:rPr>
      </w:pPr>
    </w:p>
    <w:p w14:paraId="65594C7B" w14:textId="557F4AAF" w:rsidR="006C6495" w:rsidRPr="00720A49" w:rsidRDefault="006C6495" w:rsidP="006C6495">
      <w:pPr>
        <w:spacing w:line="240" w:lineRule="auto"/>
        <w:rPr>
          <w:rFonts w:ascii="Aptos" w:hAnsi="Aptos" w:cs="Arial"/>
          <w:b/>
          <w:u w:val="single"/>
        </w:rPr>
      </w:pPr>
      <w:r w:rsidRPr="00720A49">
        <w:rPr>
          <w:rFonts w:ascii="Aptos" w:hAnsi="Aptos" w:cs="Arial"/>
          <w:b/>
          <w:u w:val="single"/>
        </w:rPr>
        <w:t>Document Section</w:t>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r>
      <w:r w:rsidRPr="00720A49">
        <w:rPr>
          <w:rFonts w:ascii="Aptos" w:hAnsi="Aptos" w:cs="Arial"/>
          <w:b/>
          <w:u w:val="single"/>
        </w:rPr>
        <w:tab/>
        <w:t xml:space="preserve">  </w:t>
      </w:r>
      <w:r w:rsidR="00C26502" w:rsidRPr="00720A49">
        <w:rPr>
          <w:rFonts w:ascii="Aptos" w:hAnsi="Aptos" w:cs="Arial"/>
          <w:b/>
          <w:u w:val="single"/>
        </w:rPr>
        <w:t xml:space="preserve">    </w:t>
      </w:r>
      <w:r w:rsidR="0030523D" w:rsidRPr="00720A49">
        <w:rPr>
          <w:rFonts w:ascii="Aptos" w:hAnsi="Aptos" w:cs="Arial"/>
          <w:b/>
          <w:u w:val="single"/>
        </w:rPr>
        <w:t xml:space="preserve">      </w:t>
      </w:r>
      <w:r w:rsidRPr="00720A49">
        <w:rPr>
          <w:rFonts w:ascii="Aptos" w:hAnsi="Aptos" w:cs="Arial"/>
          <w:b/>
          <w:u w:val="single"/>
        </w:rPr>
        <w:t>Page No.</w:t>
      </w:r>
    </w:p>
    <w:p w14:paraId="77CC8732" w14:textId="012704E9" w:rsidR="00B6461F" w:rsidRPr="00720A49" w:rsidRDefault="00D74F2D" w:rsidP="00B6461F">
      <w:pPr>
        <w:pStyle w:val="TOC1"/>
        <w:rPr>
          <w:rFonts w:ascii="Aptos" w:eastAsiaTheme="minorEastAsia" w:hAnsi="Aptos" w:cs="Arial"/>
          <w:noProof/>
          <w:kern w:val="2"/>
          <w14:ligatures w14:val="standardContextual"/>
        </w:rPr>
      </w:pPr>
      <w:r w:rsidRPr="00720A49">
        <w:rPr>
          <w:rFonts w:ascii="Aptos" w:hAnsi="Aptos" w:cs="Arial"/>
        </w:rPr>
        <w:fldChar w:fldCharType="begin"/>
      </w:r>
      <w:r w:rsidRPr="00720A49">
        <w:rPr>
          <w:rFonts w:ascii="Aptos" w:hAnsi="Aptos" w:cs="Arial"/>
        </w:rPr>
        <w:instrText xml:space="preserve"> TOC \o "1-1" \h \z \u </w:instrText>
      </w:r>
      <w:r w:rsidRPr="00720A49">
        <w:rPr>
          <w:rFonts w:ascii="Aptos" w:hAnsi="Aptos" w:cs="Arial"/>
        </w:rPr>
        <w:fldChar w:fldCharType="separate"/>
      </w:r>
      <w:hyperlink w:anchor="_Toc163569782" w:history="1">
        <w:r w:rsidR="00B6461F" w:rsidRPr="00720A49">
          <w:rPr>
            <w:rStyle w:val="Hyperlink"/>
            <w:rFonts w:ascii="Aptos" w:hAnsi="Aptos" w:cs="Arial"/>
            <w:caps/>
            <w:noProof/>
          </w:rPr>
          <w:t>SECTION 1</w:t>
        </w:r>
        <w:r w:rsidR="00B6461F" w:rsidRPr="00720A49">
          <w:rPr>
            <w:rFonts w:ascii="Aptos" w:eastAsiaTheme="minorEastAsia" w:hAnsi="Aptos" w:cs="Arial"/>
            <w:noProof/>
            <w:kern w:val="2"/>
            <w14:ligatures w14:val="standardContextual"/>
          </w:rPr>
          <w:tab/>
        </w:r>
        <w:r w:rsidR="00B6461F" w:rsidRPr="00720A49">
          <w:rPr>
            <w:rStyle w:val="Hyperlink"/>
            <w:rFonts w:ascii="Aptos" w:hAnsi="Aptos" w:cs="Arial"/>
            <w:noProof/>
          </w:rPr>
          <w:t>EXECUTIVE SUMMARY</w:t>
        </w:r>
        <w:r w:rsidR="00B6461F" w:rsidRPr="00720A49">
          <w:rPr>
            <w:rFonts w:ascii="Aptos" w:hAnsi="Aptos" w:cs="Arial"/>
            <w:noProof/>
            <w:webHidden/>
          </w:rPr>
          <w:tab/>
        </w:r>
        <w:r w:rsidR="00B6461F" w:rsidRPr="00720A49">
          <w:rPr>
            <w:rFonts w:ascii="Aptos" w:hAnsi="Aptos" w:cs="Arial"/>
            <w:noProof/>
            <w:webHidden/>
          </w:rPr>
          <w:fldChar w:fldCharType="begin"/>
        </w:r>
        <w:r w:rsidR="00B6461F" w:rsidRPr="00720A49">
          <w:rPr>
            <w:rFonts w:ascii="Aptos" w:hAnsi="Aptos" w:cs="Arial"/>
            <w:noProof/>
            <w:webHidden/>
          </w:rPr>
          <w:instrText xml:space="preserve"> PAGEREF _Toc163569782 \h </w:instrText>
        </w:r>
        <w:r w:rsidR="00B6461F" w:rsidRPr="00720A49">
          <w:rPr>
            <w:rFonts w:ascii="Aptos" w:hAnsi="Aptos" w:cs="Arial"/>
            <w:noProof/>
            <w:webHidden/>
          </w:rPr>
        </w:r>
        <w:r w:rsidR="00B6461F" w:rsidRPr="00720A49">
          <w:rPr>
            <w:rFonts w:ascii="Aptos" w:hAnsi="Aptos" w:cs="Arial"/>
            <w:noProof/>
            <w:webHidden/>
          </w:rPr>
          <w:fldChar w:fldCharType="separate"/>
        </w:r>
        <w:r w:rsidR="003D5E81" w:rsidRPr="00720A49">
          <w:rPr>
            <w:rFonts w:ascii="Aptos" w:hAnsi="Aptos" w:cs="Arial"/>
            <w:noProof/>
            <w:webHidden/>
          </w:rPr>
          <w:t>2</w:t>
        </w:r>
        <w:r w:rsidR="00B6461F" w:rsidRPr="00720A49">
          <w:rPr>
            <w:rFonts w:ascii="Aptos" w:hAnsi="Aptos" w:cs="Arial"/>
            <w:noProof/>
            <w:webHidden/>
          </w:rPr>
          <w:fldChar w:fldCharType="end"/>
        </w:r>
      </w:hyperlink>
    </w:p>
    <w:p w14:paraId="7C6B8A90" w14:textId="48846006" w:rsidR="00B6461F" w:rsidRPr="00720A49" w:rsidRDefault="00B6461F" w:rsidP="00B6461F">
      <w:pPr>
        <w:pStyle w:val="TOC1"/>
        <w:rPr>
          <w:rFonts w:ascii="Aptos" w:eastAsiaTheme="minorEastAsia" w:hAnsi="Aptos" w:cs="Arial"/>
          <w:noProof/>
          <w:kern w:val="2"/>
          <w14:ligatures w14:val="standardContextual"/>
        </w:rPr>
      </w:pPr>
      <w:hyperlink w:anchor="_Toc163569783" w:history="1">
        <w:r w:rsidRPr="00720A49">
          <w:rPr>
            <w:rStyle w:val="Hyperlink"/>
            <w:rFonts w:ascii="Aptos" w:hAnsi="Aptos" w:cs="Arial"/>
            <w:caps/>
            <w:noProof/>
          </w:rPr>
          <w:t>SECTION 2</w:t>
        </w:r>
        <w:r w:rsidRPr="00720A49">
          <w:rPr>
            <w:rFonts w:ascii="Aptos" w:eastAsiaTheme="minorEastAsia" w:hAnsi="Aptos" w:cs="Arial"/>
            <w:noProof/>
            <w:kern w:val="2"/>
            <w14:ligatures w14:val="standardContextual"/>
          </w:rPr>
          <w:tab/>
        </w:r>
        <w:r w:rsidRPr="00720A49">
          <w:rPr>
            <w:rStyle w:val="Hyperlink"/>
            <w:rFonts w:ascii="Aptos" w:hAnsi="Aptos" w:cs="Arial"/>
            <w:noProof/>
          </w:rPr>
          <w:t>BACKGROUND AND PURPOSE</w:t>
        </w:r>
        <w:r w:rsidRPr="00720A49">
          <w:rPr>
            <w:rFonts w:ascii="Aptos" w:hAnsi="Aptos" w:cs="Arial"/>
            <w:noProof/>
            <w:webHidden/>
          </w:rPr>
          <w:tab/>
        </w:r>
        <w:r w:rsidRPr="00720A49">
          <w:rPr>
            <w:rFonts w:ascii="Aptos" w:hAnsi="Aptos" w:cs="Arial"/>
            <w:noProof/>
            <w:webHidden/>
          </w:rPr>
          <w:fldChar w:fldCharType="begin"/>
        </w:r>
        <w:r w:rsidRPr="00720A49">
          <w:rPr>
            <w:rFonts w:ascii="Aptos" w:hAnsi="Aptos" w:cs="Arial"/>
            <w:noProof/>
            <w:webHidden/>
          </w:rPr>
          <w:instrText xml:space="preserve"> PAGEREF _Toc163569783 \h </w:instrText>
        </w:r>
        <w:r w:rsidRPr="00720A49">
          <w:rPr>
            <w:rFonts w:ascii="Aptos" w:hAnsi="Aptos" w:cs="Arial"/>
            <w:noProof/>
            <w:webHidden/>
          </w:rPr>
        </w:r>
        <w:r w:rsidRPr="00720A49">
          <w:rPr>
            <w:rFonts w:ascii="Aptos" w:hAnsi="Aptos" w:cs="Arial"/>
            <w:noProof/>
            <w:webHidden/>
          </w:rPr>
          <w:fldChar w:fldCharType="separate"/>
        </w:r>
        <w:r w:rsidR="003D5E81" w:rsidRPr="00720A49">
          <w:rPr>
            <w:rFonts w:ascii="Aptos" w:hAnsi="Aptos" w:cs="Arial"/>
            <w:noProof/>
            <w:webHidden/>
          </w:rPr>
          <w:t>3</w:t>
        </w:r>
        <w:r w:rsidRPr="00720A49">
          <w:rPr>
            <w:rFonts w:ascii="Aptos" w:hAnsi="Aptos" w:cs="Arial"/>
            <w:noProof/>
            <w:webHidden/>
          </w:rPr>
          <w:fldChar w:fldCharType="end"/>
        </w:r>
      </w:hyperlink>
    </w:p>
    <w:p w14:paraId="44AFAAD3" w14:textId="2988ADC8" w:rsidR="00B6461F" w:rsidRPr="00720A49" w:rsidRDefault="00B6461F" w:rsidP="00B6461F">
      <w:pPr>
        <w:pStyle w:val="TOC1"/>
        <w:rPr>
          <w:rFonts w:ascii="Aptos" w:eastAsiaTheme="minorEastAsia" w:hAnsi="Aptos" w:cs="Arial"/>
          <w:noProof/>
          <w:kern w:val="2"/>
          <w14:ligatures w14:val="standardContextual"/>
        </w:rPr>
      </w:pPr>
      <w:hyperlink w:anchor="_Toc163569784" w:history="1">
        <w:r w:rsidRPr="00720A49">
          <w:rPr>
            <w:rStyle w:val="Hyperlink"/>
            <w:rFonts w:ascii="Aptos" w:hAnsi="Aptos" w:cs="Arial"/>
            <w:caps/>
            <w:noProof/>
          </w:rPr>
          <w:t>SECTION 3</w:t>
        </w:r>
        <w:r w:rsidRPr="00720A49">
          <w:rPr>
            <w:rFonts w:ascii="Aptos" w:eastAsiaTheme="minorEastAsia" w:hAnsi="Aptos" w:cs="Arial"/>
            <w:noProof/>
            <w:kern w:val="2"/>
            <w14:ligatures w14:val="standardContextual"/>
          </w:rPr>
          <w:tab/>
        </w:r>
        <w:r w:rsidRPr="00720A49">
          <w:rPr>
            <w:rStyle w:val="Hyperlink"/>
            <w:rFonts w:ascii="Aptos" w:hAnsi="Aptos" w:cs="Arial"/>
            <w:noProof/>
          </w:rPr>
          <w:t>RENEWABLE COST-BENEFIT COMPONENTS</w:t>
        </w:r>
        <w:r w:rsidRPr="00720A49">
          <w:rPr>
            <w:rFonts w:ascii="Aptos" w:hAnsi="Aptos" w:cs="Arial"/>
            <w:noProof/>
            <w:webHidden/>
          </w:rPr>
          <w:tab/>
        </w:r>
        <w:r w:rsidRPr="00720A49">
          <w:rPr>
            <w:rFonts w:ascii="Aptos" w:hAnsi="Aptos" w:cs="Arial"/>
            <w:noProof/>
            <w:webHidden/>
          </w:rPr>
          <w:fldChar w:fldCharType="begin"/>
        </w:r>
        <w:r w:rsidRPr="00720A49">
          <w:rPr>
            <w:rFonts w:ascii="Aptos" w:hAnsi="Aptos" w:cs="Arial"/>
            <w:noProof/>
            <w:webHidden/>
          </w:rPr>
          <w:instrText xml:space="preserve"> PAGEREF _Toc163569784 \h </w:instrText>
        </w:r>
        <w:r w:rsidRPr="00720A49">
          <w:rPr>
            <w:rFonts w:ascii="Aptos" w:hAnsi="Aptos" w:cs="Arial"/>
            <w:noProof/>
            <w:webHidden/>
          </w:rPr>
        </w:r>
        <w:r w:rsidRPr="00720A49">
          <w:rPr>
            <w:rFonts w:ascii="Aptos" w:hAnsi="Aptos" w:cs="Arial"/>
            <w:noProof/>
            <w:webHidden/>
          </w:rPr>
          <w:fldChar w:fldCharType="separate"/>
        </w:r>
        <w:r w:rsidR="003D5E81" w:rsidRPr="00720A49">
          <w:rPr>
            <w:rFonts w:ascii="Aptos" w:hAnsi="Aptos" w:cs="Arial"/>
            <w:noProof/>
            <w:webHidden/>
          </w:rPr>
          <w:t>4</w:t>
        </w:r>
        <w:r w:rsidRPr="00720A49">
          <w:rPr>
            <w:rFonts w:ascii="Aptos" w:hAnsi="Aptos" w:cs="Arial"/>
            <w:noProof/>
            <w:webHidden/>
          </w:rPr>
          <w:fldChar w:fldCharType="end"/>
        </w:r>
      </w:hyperlink>
    </w:p>
    <w:p w14:paraId="22394BE0" w14:textId="709C6717" w:rsidR="00B6461F" w:rsidRPr="00720A49" w:rsidRDefault="00B6461F" w:rsidP="00B6461F">
      <w:pPr>
        <w:pStyle w:val="TOC1"/>
        <w:rPr>
          <w:rFonts w:ascii="Aptos" w:eastAsiaTheme="minorEastAsia" w:hAnsi="Aptos" w:cs="Arial"/>
          <w:noProof/>
          <w:kern w:val="2"/>
          <w14:ligatures w14:val="standardContextual"/>
        </w:rPr>
      </w:pPr>
      <w:hyperlink w:anchor="_Toc163569785" w:history="1">
        <w:r w:rsidRPr="00720A49">
          <w:rPr>
            <w:rStyle w:val="Hyperlink"/>
            <w:rFonts w:ascii="Aptos" w:hAnsi="Aptos" w:cs="Arial"/>
            <w:caps/>
            <w:noProof/>
          </w:rPr>
          <w:t>SECTION 4</w:t>
        </w:r>
        <w:r w:rsidRPr="00720A49">
          <w:rPr>
            <w:rFonts w:ascii="Aptos" w:eastAsiaTheme="minorEastAsia" w:hAnsi="Aptos" w:cs="Arial"/>
            <w:noProof/>
            <w:kern w:val="2"/>
            <w14:ligatures w14:val="standardContextual"/>
          </w:rPr>
          <w:tab/>
        </w:r>
        <w:r w:rsidRPr="00720A49">
          <w:rPr>
            <w:rStyle w:val="Hyperlink"/>
            <w:rFonts w:ascii="Aptos" w:hAnsi="Aptos" w:cs="Arial"/>
            <w:noProof/>
          </w:rPr>
          <w:t>RENEWABLE COST-BENEFIT METHODOLOGY</w:t>
        </w:r>
        <w:r w:rsidRPr="00720A49">
          <w:rPr>
            <w:rFonts w:ascii="Aptos" w:hAnsi="Aptos" w:cs="Arial"/>
            <w:noProof/>
            <w:webHidden/>
          </w:rPr>
          <w:tab/>
        </w:r>
        <w:r w:rsidRPr="00720A49">
          <w:rPr>
            <w:rFonts w:ascii="Aptos" w:hAnsi="Aptos" w:cs="Arial"/>
            <w:noProof/>
            <w:webHidden/>
          </w:rPr>
          <w:fldChar w:fldCharType="begin"/>
        </w:r>
        <w:r w:rsidRPr="00720A49">
          <w:rPr>
            <w:rFonts w:ascii="Aptos" w:hAnsi="Aptos" w:cs="Arial"/>
            <w:noProof/>
            <w:webHidden/>
          </w:rPr>
          <w:instrText xml:space="preserve"> PAGEREF _Toc163569785 \h </w:instrText>
        </w:r>
        <w:r w:rsidRPr="00720A49">
          <w:rPr>
            <w:rFonts w:ascii="Aptos" w:hAnsi="Aptos" w:cs="Arial"/>
            <w:noProof/>
            <w:webHidden/>
          </w:rPr>
        </w:r>
        <w:r w:rsidRPr="00720A49">
          <w:rPr>
            <w:rFonts w:ascii="Aptos" w:hAnsi="Aptos" w:cs="Arial"/>
            <w:noProof/>
            <w:webHidden/>
          </w:rPr>
          <w:fldChar w:fldCharType="separate"/>
        </w:r>
        <w:r w:rsidR="003D5E81" w:rsidRPr="00720A49">
          <w:rPr>
            <w:rFonts w:ascii="Aptos" w:hAnsi="Aptos" w:cs="Arial"/>
            <w:noProof/>
            <w:webHidden/>
          </w:rPr>
          <w:t>8</w:t>
        </w:r>
        <w:r w:rsidRPr="00720A49">
          <w:rPr>
            <w:rFonts w:ascii="Aptos" w:hAnsi="Aptos" w:cs="Arial"/>
            <w:noProof/>
            <w:webHidden/>
          </w:rPr>
          <w:fldChar w:fldCharType="end"/>
        </w:r>
      </w:hyperlink>
    </w:p>
    <w:p w14:paraId="0B20A772" w14:textId="395B47C4" w:rsidR="00B6461F" w:rsidRPr="00720A49" w:rsidRDefault="00B6461F" w:rsidP="00B6461F">
      <w:pPr>
        <w:pStyle w:val="TOC1"/>
        <w:rPr>
          <w:rFonts w:ascii="Aptos" w:eastAsiaTheme="minorEastAsia" w:hAnsi="Aptos" w:cs="Arial"/>
          <w:noProof/>
          <w:kern w:val="2"/>
          <w14:ligatures w14:val="standardContextual"/>
        </w:rPr>
      </w:pPr>
      <w:hyperlink w:anchor="_Toc163569786" w:history="1">
        <w:r w:rsidRPr="00720A49">
          <w:rPr>
            <w:rStyle w:val="Hyperlink"/>
            <w:rFonts w:ascii="Aptos" w:hAnsi="Aptos" w:cs="Arial"/>
            <w:noProof/>
          </w:rPr>
          <w:t>APPENDIX A – REFERENCE CONNECTIONS</w:t>
        </w:r>
        <w:r w:rsidRPr="00720A49">
          <w:rPr>
            <w:rFonts w:ascii="Aptos" w:hAnsi="Aptos" w:cs="Arial"/>
            <w:noProof/>
            <w:webHidden/>
          </w:rPr>
          <w:tab/>
        </w:r>
        <w:r w:rsidRPr="00720A49">
          <w:rPr>
            <w:rFonts w:ascii="Aptos" w:hAnsi="Aptos" w:cs="Arial"/>
            <w:noProof/>
            <w:webHidden/>
          </w:rPr>
          <w:fldChar w:fldCharType="begin"/>
        </w:r>
        <w:r w:rsidRPr="00720A49">
          <w:rPr>
            <w:rFonts w:ascii="Aptos" w:hAnsi="Aptos" w:cs="Arial"/>
            <w:noProof/>
            <w:webHidden/>
          </w:rPr>
          <w:instrText xml:space="preserve"> PAGEREF _Toc163569786 \h </w:instrText>
        </w:r>
        <w:r w:rsidRPr="00720A49">
          <w:rPr>
            <w:rFonts w:ascii="Aptos" w:hAnsi="Aptos" w:cs="Arial"/>
            <w:noProof/>
            <w:webHidden/>
          </w:rPr>
        </w:r>
        <w:r w:rsidRPr="00720A49">
          <w:rPr>
            <w:rFonts w:ascii="Aptos" w:hAnsi="Aptos" w:cs="Arial"/>
            <w:noProof/>
            <w:webHidden/>
          </w:rPr>
          <w:fldChar w:fldCharType="separate"/>
        </w:r>
        <w:r w:rsidR="003D5E81" w:rsidRPr="00720A49">
          <w:rPr>
            <w:rFonts w:ascii="Aptos" w:hAnsi="Aptos" w:cs="Arial"/>
            <w:noProof/>
            <w:webHidden/>
          </w:rPr>
          <w:t>12</w:t>
        </w:r>
        <w:r w:rsidRPr="00720A49">
          <w:rPr>
            <w:rFonts w:ascii="Aptos" w:hAnsi="Aptos" w:cs="Arial"/>
            <w:noProof/>
            <w:webHidden/>
          </w:rPr>
          <w:fldChar w:fldCharType="end"/>
        </w:r>
      </w:hyperlink>
    </w:p>
    <w:p w14:paraId="309D7770" w14:textId="0EA925E2" w:rsidR="0003394F" w:rsidRPr="00720A49" w:rsidRDefault="00D74F2D" w:rsidP="006C6495">
      <w:pPr>
        <w:spacing w:after="0" w:line="240" w:lineRule="auto"/>
        <w:rPr>
          <w:rFonts w:ascii="Aptos" w:hAnsi="Aptos" w:cs="Arial"/>
        </w:rPr>
      </w:pPr>
      <w:r w:rsidRPr="00720A49">
        <w:rPr>
          <w:rFonts w:ascii="Aptos" w:hAnsi="Aptos" w:cs="Arial"/>
        </w:rPr>
        <w:fldChar w:fldCharType="end"/>
      </w:r>
    </w:p>
    <w:p w14:paraId="12D68227" w14:textId="77777777" w:rsidR="0003394F" w:rsidRPr="00720A49" w:rsidRDefault="0003394F" w:rsidP="0003394F">
      <w:pPr>
        <w:rPr>
          <w:rFonts w:ascii="Aptos" w:hAnsi="Aptos" w:cs="Arial"/>
          <w:b/>
        </w:rPr>
      </w:pPr>
      <w:r w:rsidRPr="00720A49">
        <w:rPr>
          <w:rFonts w:ascii="Aptos" w:hAnsi="Aptos" w:cs="Arial"/>
          <w:b/>
        </w:rPr>
        <w:br w:type="page"/>
      </w:r>
    </w:p>
    <w:p w14:paraId="4A4BDB39" w14:textId="088E5A22" w:rsidR="0003394F" w:rsidRPr="00720A49" w:rsidRDefault="0003394F" w:rsidP="00C63BDA">
      <w:pPr>
        <w:pStyle w:val="Heading1"/>
        <w:jc w:val="left"/>
        <w:rPr>
          <w:rFonts w:ascii="Aptos" w:hAnsi="Aptos"/>
        </w:rPr>
      </w:pPr>
      <w:bookmarkStart w:id="0" w:name="_Toc163569782"/>
      <w:bookmarkStart w:id="1" w:name="_Hlk83715580"/>
      <w:r w:rsidRPr="00720A49">
        <w:rPr>
          <w:rFonts w:ascii="Aptos" w:hAnsi="Aptos"/>
        </w:rPr>
        <w:lastRenderedPageBreak/>
        <w:t>EXECUTIVE SUMMARY</w:t>
      </w:r>
      <w:bookmarkEnd w:id="0"/>
    </w:p>
    <w:p w14:paraId="5A8FACEF" w14:textId="77777777" w:rsidR="0003394F" w:rsidRPr="00720A49" w:rsidRDefault="0003394F" w:rsidP="00964471">
      <w:pPr>
        <w:pStyle w:val="Heading2"/>
        <w:rPr>
          <w:rFonts w:ascii="Aptos" w:hAnsi="Aptos"/>
        </w:rPr>
      </w:pPr>
      <w:bookmarkStart w:id="2" w:name="_Hlk83715586"/>
      <w:bookmarkEnd w:id="1"/>
      <w:r w:rsidRPr="00720A49">
        <w:rPr>
          <w:rFonts w:ascii="Aptos" w:hAnsi="Aptos"/>
        </w:rPr>
        <w:t>Introduction</w:t>
      </w:r>
    </w:p>
    <w:bookmarkEnd w:id="2"/>
    <w:p w14:paraId="54EA3A38" w14:textId="65103EBA" w:rsidR="0003394F" w:rsidRPr="00720A49" w:rsidRDefault="00F0585A" w:rsidP="00FF3E25">
      <w:pPr>
        <w:jc w:val="both"/>
        <w:rPr>
          <w:rFonts w:ascii="Aptos" w:hAnsi="Aptos" w:cs="Arial"/>
        </w:rPr>
      </w:pPr>
      <w:r w:rsidRPr="00720A49">
        <w:rPr>
          <w:rFonts w:ascii="Aptos" w:hAnsi="Aptos" w:cs="Arial"/>
        </w:rPr>
        <w:t xml:space="preserve">Renewable </w:t>
      </w:r>
      <w:r w:rsidR="0095247C" w:rsidRPr="00720A49">
        <w:rPr>
          <w:rFonts w:ascii="Aptos" w:hAnsi="Aptos" w:cs="Arial"/>
        </w:rPr>
        <w:t xml:space="preserve">generation </w:t>
      </w:r>
      <w:r w:rsidRPr="00720A49">
        <w:rPr>
          <w:rFonts w:ascii="Aptos" w:hAnsi="Aptos" w:cs="Arial"/>
        </w:rPr>
        <w:t xml:space="preserve">resources </w:t>
      </w:r>
      <w:r w:rsidR="00D65074" w:rsidRPr="00720A49">
        <w:rPr>
          <w:rFonts w:ascii="Aptos" w:hAnsi="Aptos" w:cs="Arial"/>
        </w:rPr>
        <w:t>remain</w:t>
      </w:r>
      <w:r w:rsidRPr="00720A49">
        <w:rPr>
          <w:rFonts w:ascii="Aptos" w:hAnsi="Aptos" w:cs="Arial"/>
        </w:rPr>
        <w:t xml:space="preserve"> an important component of the Southern Company electric system.</w:t>
      </w:r>
      <w:bookmarkStart w:id="3" w:name="_Hlk86417227"/>
      <w:r w:rsidR="0095247C" w:rsidRPr="00720A49">
        <w:rPr>
          <w:rFonts w:ascii="Aptos" w:hAnsi="Aptos" w:cs="Arial"/>
        </w:rPr>
        <w:t xml:space="preserve"> </w:t>
      </w:r>
      <w:bookmarkEnd w:id="3"/>
      <w:r w:rsidR="0095247C" w:rsidRPr="00720A49">
        <w:rPr>
          <w:rFonts w:ascii="Aptos" w:hAnsi="Aptos" w:cs="Arial"/>
        </w:rPr>
        <w:t>R</w:t>
      </w:r>
      <w:r w:rsidRPr="00720A49">
        <w:rPr>
          <w:rFonts w:ascii="Aptos" w:hAnsi="Aptos" w:cs="Arial"/>
        </w:rPr>
        <w:t>enewa</w:t>
      </w:r>
      <w:r w:rsidR="00FD0A42" w:rsidRPr="00720A49">
        <w:rPr>
          <w:rFonts w:ascii="Aptos" w:hAnsi="Aptos" w:cs="Arial"/>
        </w:rPr>
        <w:t>bl</w:t>
      </w:r>
      <w:r w:rsidRPr="00720A49">
        <w:rPr>
          <w:rFonts w:ascii="Aptos" w:hAnsi="Aptos" w:cs="Arial"/>
        </w:rPr>
        <w:t xml:space="preserve">e resources have </w:t>
      </w:r>
      <w:r w:rsidR="0095247C" w:rsidRPr="00720A49">
        <w:rPr>
          <w:rFonts w:ascii="Aptos" w:hAnsi="Aptos" w:cs="Arial"/>
        </w:rPr>
        <w:t xml:space="preserve">different </w:t>
      </w:r>
      <w:r w:rsidRPr="00720A49">
        <w:rPr>
          <w:rFonts w:ascii="Aptos" w:hAnsi="Aptos" w:cs="Arial"/>
        </w:rPr>
        <w:t xml:space="preserve">operating characteristics </w:t>
      </w:r>
      <w:r w:rsidR="0095247C" w:rsidRPr="00720A49">
        <w:rPr>
          <w:rFonts w:ascii="Aptos" w:hAnsi="Aptos" w:cs="Arial"/>
        </w:rPr>
        <w:t xml:space="preserve">from </w:t>
      </w:r>
      <w:r w:rsidR="00D65074" w:rsidRPr="00720A49">
        <w:rPr>
          <w:rFonts w:ascii="Aptos" w:hAnsi="Aptos" w:cs="Arial"/>
        </w:rPr>
        <w:t>conventional generating resources</w:t>
      </w:r>
      <w:r w:rsidR="0095247C" w:rsidRPr="00720A49">
        <w:rPr>
          <w:rFonts w:ascii="Aptos" w:hAnsi="Aptos" w:cs="Arial"/>
        </w:rPr>
        <w:t xml:space="preserve">, including </w:t>
      </w:r>
      <w:r w:rsidRPr="00720A49">
        <w:rPr>
          <w:rFonts w:ascii="Aptos" w:hAnsi="Aptos" w:cs="Arial"/>
        </w:rPr>
        <w:t xml:space="preserve">limited dispatchability and </w:t>
      </w:r>
      <w:r w:rsidR="003D23E6" w:rsidRPr="00720A49">
        <w:rPr>
          <w:rFonts w:ascii="Aptos" w:hAnsi="Aptos" w:cs="Arial"/>
        </w:rPr>
        <w:t>output</w:t>
      </w:r>
      <w:r w:rsidRPr="00720A49">
        <w:rPr>
          <w:rFonts w:ascii="Aptos" w:hAnsi="Aptos" w:cs="Arial"/>
        </w:rPr>
        <w:t xml:space="preserve"> volatility</w:t>
      </w:r>
      <w:r w:rsidR="00FD0A42" w:rsidRPr="00720A49">
        <w:rPr>
          <w:rFonts w:ascii="Aptos" w:hAnsi="Aptos" w:cs="Arial"/>
        </w:rPr>
        <w:t xml:space="preserve">. </w:t>
      </w:r>
      <w:r w:rsidR="004B1D37" w:rsidRPr="00720A49">
        <w:rPr>
          <w:rFonts w:ascii="Aptos" w:hAnsi="Aptos" w:cs="Arial"/>
        </w:rPr>
        <w:t>Therefore, a</w:t>
      </w:r>
      <w:r w:rsidR="0095247C" w:rsidRPr="00720A49">
        <w:rPr>
          <w:rFonts w:ascii="Aptos" w:hAnsi="Aptos" w:cs="Arial"/>
        </w:rPr>
        <w:t xml:space="preserve">n economic analysis of </w:t>
      </w:r>
      <w:r w:rsidR="00B564A2" w:rsidRPr="00720A49">
        <w:rPr>
          <w:rFonts w:ascii="Aptos" w:hAnsi="Aptos" w:cs="Arial"/>
        </w:rPr>
        <w:t xml:space="preserve">renewable </w:t>
      </w:r>
      <w:r w:rsidR="0095247C" w:rsidRPr="00720A49">
        <w:rPr>
          <w:rFonts w:ascii="Aptos" w:hAnsi="Aptos" w:cs="Arial"/>
        </w:rPr>
        <w:t>resources will take into consideration</w:t>
      </w:r>
      <w:r w:rsidR="001A2F35" w:rsidRPr="00720A49">
        <w:rPr>
          <w:rFonts w:ascii="Aptos" w:hAnsi="Aptos" w:cs="Arial"/>
        </w:rPr>
        <w:t xml:space="preserve"> </w:t>
      </w:r>
      <w:r w:rsidR="0095247C" w:rsidRPr="00720A49">
        <w:rPr>
          <w:rFonts w:ascii="Aptos" w:hAnsi="Aptos" w:cs="Arial"/>
        </w:rPr>
        <w:t xml:space="preserve">that fleet operations </w:t>
      </w:r>
      <w:r w:rsidR="001A2F35" w:rsidRPr="00720A49">
        <w:rPr>
          <w:rFonts w:ascii="Aptos" w:hAnsi="Aptos" w:cs="Arial"/>
        </w:rPr>
        <w:t xml:space="preserve">is </w:t>
      </w:r>
      <w:r w:rsidR="0095247C" w:rsidRPr="00720A49">
        <w:rPr>
          <w:rFonts w:ascii="Aptos" w:hAnsi="Aptos" w:cs="Arial"/>
        </w:rPr>
        <w:t xml:space="preserve">affected by the variability of renewable resources. </w:t>
      </w:r>
      <w:r w:rsidR="004B1D37" w:rsidRPr="00720A49">
        <w:rPr>
          <w:rFonts w:ascii="Aptos" w:hAnsi="Aptos" w:cs="Arial"/>
        </w:rPr>
        <w:t xml:space="preserve">To support and inform renewable </w:t>
      </w:r>
      <w:r w:rsidR="00E8268A" w:rsidRPr="00720A49">
        <w:rPr>
          <w:rFonts w:ascii="Aptos" w:hAnsi="Aptos" w:cs="Arial"/>
        </w:rPr>
        <w:t>planning</w:t>
      </w:r>
      <w:r w:rsidR="00445BDD" w:rsidRPr="00720A49">
        <w:rPr>
          <w:rFonts w:ascii="Aptos" w:hAnsi="Aptos" w:cs="Arial"/>
        </w:rPr>
        <w:t>,</w:t>
      </w:r>
      <w:r w:rsidR="00E8268A" w:rsidRPr="00720A49">
        <w:rPr>
          <w:rFonts w:ascii="Aptos" w:hAnsi="Aptos" w:cs="Arial"/>
        </w:rPr>
        <w:t xml:space="preserve"> </w:t>
      </w:r>
      <w:r w:rsidR="004B1D37" w:rsidRPr="00720A49">
        <w:rPr>
          <w:rFonts w:ascii="Aptos" w:hAnsi="Aptos" w:cs="Arial"/>
        </w:rPr>
        <w:t>procurement,</w:t>
      </w:r>
      <w:r w:rsidR="00445BDD" w:rsidRPr="00720A49">
        <w:rPr>
          <w:rFonts w:ascii="Aptos" w:hAnsi="Aptos" w:cs="Arial"/>
        </w:rPr>
        <w:t xml:space="preserve"> and payment approaches</w:t>
      </w:r>
      <w:r w:rsidR="00287A35" w:rsidRPr="00720A49">
        <w:rPr>
          <w:rFonts w:ascii="Aptos" w:hAnsi="Aptos" w:cs="Arial"/>
        </w:rPr>
        <w:t>,</w:t>
      </w:r>
      <w:r w:rsidR="004B1D37" w:rsidRPr="00720A49">
        <w:rPr>
          <w:rFonts w:ascii="Aptos" w:hAnsi="Aptos" w:cs="Arial"/>
        </w:rPr>
        <w:t xml:space="preserve"> </w:t>
      </w:r>
      <w:r w:rsidR="0003394F" w:rsidRPr="00720A49">
        <w:rPr>
          <w:rFonts w:ascii="Aptos" w:hAnsi="Aptos" w:cs="Arial"/>
        </w:rPr>
        <w:t>Southern Compan</w:t>
      </w:r>
      <w:r w:rsidR="008255FD" w:rsidRPr="00720A49">
        <w:rPr>
          <w:rFonts w:ascii="Aptos" w:hAnsi="Aptos" w:cs="Arial"/>
        </w:rPr>
        <w:t>y</w:t>
      </w:r>
      <w:r w:rsidR="0003394F" w:rsidRPr="00720A49">
        <w:rPr>
          <w:rFonts w:ascii="Aptos" w:hAnsi="Aptos" w:cs="Arial"/>
        </w:rPr>
        <w:t xml:space="preserve"> </w:t>
      </w:r>
      <w:r w:rsidR="0085655E" w:rsidRPr="00720A49">
        <w:rPr>
          <w:rFonts w:ascii="Aptos" w:hAnsi="Aptos" w:cs="Arial"/>
        </w:rPr>
        <w:t xml:space="preserve">has </w:t>
      </w:r>
      <w:r w:rsidR="0003394F" w:rsidRPr="00720A49">
        <w:rPr>
          <w:rFonts w:ascii="Aptos" w:hAnsi="Aptos" w:cs="Arial"/>
        </w:rPr>
        <w:t xml:space="preserve">established a </w:t>
      </w:r>
      <w:r w:rsidR="00323A8A" w:rsidRPr="00720A49">
        <w:rPr>
          <w:rFonts w:ascii="Aptos" w:hAnsi="Aptos" w:cs="Arial"/>
        </w:rPr>
        <w:t xml:space="preserve">methodology </w:t>
      </w:r>
      <w:r w:rsidR="0003394F" w:rsidRPr="00720A49">
        <w:rPr>
          <w:rFonts w:ascii="Aptos" w:hAnsi="Aptos" w:cs="Arial"/>
        </w:rPr>
        <w:t xml:space="preserve">for </w:t>
      </w:r>
      <w:r w:rsidR="00A51D76" w:rsidRPr="00720A49">
        <w:rPr>
          <w:rFonts w:ascii="Aptos" w:hAnsi="Aptos" w:cs="Arial"/>
        </w:rPr>
        <w:t>d</w:t>
      </w:r>
      <w:r w:rsidR="0003394F" w:rsidRPr="00720A49">
        <w:rPr>
          <w:rFonts w:ascii="Aptos" w:hAnsi="Aptos" w:cs="Arial"/>
        </w:rPr>
        <w:t xml:space="preserve">etermining the </w:t>
      </w:r>
      <w:r w:rsidR="00A51D76" w:rsidRPr="00720A49">
        <w:rPr>
          <w:rFonts w:ascii="Aptos" w:hAnsi="Aptos" w:cs="Arial"/>
        </w:rPr>
        <w:t>c</w:t>
      </w:r>
      <w:r w:rsidR="0003394F" w:rsidRPr="00720A49">
        <w:rPr>
          <w:rFonts w:ascii="Aptos" w:hAnsi="Aptos" w:cs="Arial"/>
        </w:rPr>
        <w:t xml:space="preserve">osts and </w:t>
      </w:r>
      <w:r w:rsidR="00A51D76" w:rsidRPr="00720A49">
        <w:rPr>
          <w:rFonts w:ascii="Aptos" w:hAnsi="Aptos" w:cs="Arial"/>
        </w:rPr>
        <w:t>b</w:t>
      </w:r>
      <w:r w:rsidR="0003394F" w:rsidRPr="00720A49">
        <w:rPr>
          <w:rFonts w:ascii="Aptos" w:hAnsi="Aptos" w:cs="Arial"/>
        </w:rPr>
        <w:t xml:space="preserve">enefits of </w:t>
      </w:r>
      <w:r w:rsidR="00A51D76" w:rsidRPr="00720A49">
        <w:rPr>
          <w:rFonts w:ascii="Aptos" w:hAnsi="Aptos" w:cs="Arial"/>
        </w:rPr>
        <w:t>r</w:t>
      </w:r>
      <w:r w:rsidR="0003394F" w:rsidRPr="00720A49">
        <w:rPr>
          <w:rFonts w:ascii="Aptos" w:hAnsi="Aptos" w:cs="Arial"/>
        </w:rPr>
        <w:t xml:space="preserve">enewable </w:t>
      </w:r>
      <w:r w:rsidR="00A51D76" w:rsidRPr="00720A49">
        <w:rPr>
          <w:rFonts w:ascii="Aptos" w:hAnsi="Aptos" w:cs="Arial"/>
        </w:rPr>
        <w:t>r</w:t>
      </w:r>
      <w:r w:rsidR="0003394F" w:rsidRPr="00720A49">
        <w:rPr>
          <w:rFonts w:ascii="Aptos" w:hAnsi="Aptos" w:cs="Arial"/>
        </w:rPr>
        <w:t>esources on the Southern Company electric system</w:t>
      </w:r>
      <w:r w:rsidR="00287A35" w:rsidRPr="00720A49">
        <w:rPr>
          <w:rFonts w:ascii="Aptos" w:hAnsi="Aptos" w:cs="Arial"/>
        </w:rPr>
        <w:t>.  This methodology is called the Renewable Cost</w:t>
      </w:r>
      <w:r w:rsidR="003D37C9" w:rsidRPr="00720A49">
        <w:rPr>
          <w:rFonts w:ascii="Aptos" w:hAnsi="Aptos" w:cs="Arial"/>
        </w:rPr>
        <w:t>-</w:t>
      </w:r>
      <w:r w:rsidR="00287A35" w:rsidRPr="00720A49">
        <w:rPr>
          <w:rFonts w:ascii="Aptos" w:hAnsi="Aptos" w:cs="Arial"/>
        </w:rPr>
        <w:t>Benefit</w:t>
      </w:r>
      <w:r w:rsidR="008C7B61" w:rsidRPr="00720A49">
        <w:rPr>
          <w:rFonts w:ascii="Aptos" w:hAnsi="Aptos" w:cs="Arial"/>
        </w:rPr>
        <w:t xml:space="preserve"> (</w:t>
      </w:r>
      <w:r w:rsidR="00A743A0" w:rsidRPr="00720A49">
        <w:rPr>
          <w:rFonts w:ascii="Aptos" w:hAnsi="Aptos" w:cs="Arial"/>
        </w:rPr>
        <w:t>“</w:t>
      </w:r>
      <w:r w:rsidR="0083625B" w:rsidRPr="00720A49">
        <w:rPr>
          <w:rFonts w:ascii="Aptos" w:hAnsi="Aptos" w:cs="Arial"/>
        </w:rPr>
        <w:t>RCB</w:t>
      </w:r>
      <w:r w:rsidR="00A743A0" w:rsidRPr="00720A49">
        <w:rPr>
          <w:rFonts w:ascii="Aptos" w:hAnsi="Aptos" w:cs="Arial"/>
        </w:rPr>
        <w:t>”</w:t>
      </w:r>
      <w:r w:rsidR="00287A35" w:rsidRPr="00720A49">
        <w:rPr>
          <w:rFonts w:ascii="Aptos" w:hAnsi="Aptos" w:cs="Arial"/>
        </w:rPr>
        <w:t>)</w:t>
      </w:r>
      <w:r w:rsidR="0083625B" w:rsidRPr="00720A49">
        <w:rPr>
          <w:rFonts w:ascii="Aptos" w:hAnsi="Aptos" w:cs="Arial"/>
        </w:rPr>
        <w:t xml:space="preserve"> </w:t>
      </w:r>
      <w:r w:rsidR="008C7B61" w:rsidRPr="00720A49">
        <w:rPr>
          <w:rFonts w:ascii="Aptos" w:hAnsi="Aptos" w:cs="Arial"/>
        </w:rPr>
        <w:t>Framework</w:t>
      </w:r>
      <w:r w:rsidR="0003394F" w:rsidRPr="00720A49">
        <w:rPr>
          <w:rFonts w:ascii="Aptos" w:hAnsi="Aptos" w:cs="Arial"/>
        </w:rPr>
        <w:t xml:space="preserve">.  </w:t>
      </w:r>
      <w:r w:rsidR="00E7013F" w:rsidRPr="00720A49">
        <w:rPr>
          <w:rFonts w:ascii="Aptos" w:hAnsi="Aptos" w:cs="Arial"/>
        </w:rPr>
        <w:t xml:space="preserve">The </w:t>
      </w:r>
      <w:r w:rsidR="0083625B" w:rsidRPr="00720A49">
        <w:rPr>
          <w:rFonts w:ascii="Aptos" w:hAnsi="Aptos" w:cs="Arial"/>
        </w:rPr>
        <w:t xml:space="preserve">RCB </w:t>
      </w:r>
      <w:r w:rsidR="00E7013F" w:rsidRPr="00720A49">
        <w:rPr>
          <w:rFonts w:ascii="Aptos" w:hAnsi="Aptos" w:cs="Arial"/>
        </w:rPr>
        <w:t xml:space="preserve">Framework </w:t>
      </w:r>
      <w:r w:rsidR="0085655E" w:rsidRPr="00720A49">
        <w:rPr>
          <w:rFonts w:ascii="Aptos" w:hAnsi="Aptos" w:cs="Arial"/>
        </w:rPr>
        <w:t>guide</w:t>
      </w:r>
      <w:r w:rsidR="0095247C" w:rsidRPr="00720A49">
        <w:rPr>
          <w:rFonts w:ascii="Aptos" w:hAnsi="Aptos" w:cs="Arial"/>
        </w:rPr>
        <w:t>s</w:t>
      </w:r>
      <w:r w:rsidR="0085655E" w:rsidRPr="00720A49">
        <w:rPr>
          <w:rFonts w:ascii="Aptos" w:hAnsi="Aptos" w:cs="Arial"/>
        </w:rPr>
        <w:t xml:space="preserve"> resource planning</w:t>
      </w:r>
      <w:r w:rsidR="00445BDD" w:rsidRPr="00720A49">
        <w:rPr>
          <w:rFonts w:ascii="Aptos" w:hAnsi="Aptos" w:cs="Arial"/>
        </w:rPr>
        <w:t>,</w:t>
      </w:r>
      <w:r w:rsidR="0085655E" w:rsidRPr="00720A49">
        <w:rPr>
          <w:rFonts w:ascii="Aptos" w:hAnsi="Aptos" w:cs="Arial"/>
        </w:rPr>
        <w:t xml:space="preserve"> procurement</w:t>
      </w:r>
      <w:r w:rsidR="00445BDD" w:rsidRPr="00720A49">
        <w:rPr>
          <w:rFonts w:ascii="Aptos" w:hAnsi="Aptos" w:cs="Arial"/>
        </w:rPr>
        <w:t>, and payment</w:t>
      </w:r>
      <w:r w:rsidR="0085655E" w:rsidRPr="00720A49">
        <w:rPr>
          <w:rFonts w:ascii="Aptos" w:hAnsi="Aptos" w:cs="Arial"/>
        </w:rPr>
        <w:t xml:space="preserve"> activities related to </w:t>
      </w:r>
      <w:r w:rsidR="00E7013F" w:rsidRPr="00720A49">
        <w:rPr>
          <w:rFonts w:ascii="Aptos" w:hAnsi="Aptos" w:cs="Arial"/>
        </w:rPr>
        <w:t>renewable resource</w:t>
      </w:r>
      <w:r w:rsidR="00D93F9E" w:rsidRPr="00720A49">
        <w:rPr>
          <w:rFonts w:ascii="Aptos" w:hAnsi="Aptos" w:cs="Arial"/>
        </w:rPr>
        <w:t>s</w:t>
      </w:r>
      <w:r w:rsidR="00E7013F" w:rsidRPr="00720A49">
        <w:rPr>
          <w:rFonts w:ascii="Aptos" w:hAnsi="Aptos" w:cs="Arial"/>
        </w:rPr>
        <w:t xml:space="preserve"> </w:t>
      </w:r>
      <w:r w:rsidR="0085655E" w:rsidRPr="00720A49">
        <w:rPr>
          <w:rFonts w:ascii="Aptos" w:hAnsi="Aptos" w:cs="Arial"/>
        </w:rPr>
        <w:t>and ensure</w:t>
      </w:r>
      <w:r w:rsidR="008450BF" w:rsidRPr="00720A49">
        <w:rPr>
          <w:rFonts w:ascii="Aptos" w:hAnsi="Aptos" w:cs="Arial"/>
        </w:rPr>
        <w:t>s</w:t>
      </w:r>
      <w:r w:rsidR="0085655E" w:rsidRPr="00720A49">
        <w:rPr>
          <w:rFonts w:ascii="Aptos" w:hAnsi="Aptos" w:cs="Arial"/>
        </w:rPr>
        <w:t xml:space="preserve"> </w:t>
      </w:r>
      <w:r w:rsidR="00E7013F" w:rsidRPr="00720A49">
        <w:rPr>
          <w:rFonts w:ascii="Aptos" w:hAnsi="Aptos" w:cs="Arial"/>
        </w:rPr>
        <w:t xml:space="preserve">economic </w:t>
      </w:r>
      <w:r w:rsidR="0085655E" w:rsidRPr="00720A49">
        <w:rPr>
          <w:rFonts w:ascii="Aptos" w:hAnsi="Aptos" w:cs="Arial"/>
        </w:rPr>
        <w:t xml:space="preserve">and reliable renewable resource integration </w:t>
      </w:r>
      <w:r w:rsidR="00287A35" w:rsidRPr="00720A49">
        <w:rPr>
          <w:rFonts w:ascii="Aptos" w:hAnsi="Aptos" w:cs="Arial"/>
        </w:rPr>
        <w:t>into</w:t>
      </w:r>
      <w:r w:rsidR="0085655E" w:rsidRPr="00720A49">
        <w:rPr>
          <w:rFonts w:ascii="Aptos" w:hAnsi="Aptos" w:cs="Arial"/>
        </w:rPr>
        <w:t xml:space="preserve"> the </w:t>
      </w:r>
      <w:r w:rsidR="00976650" w:rsidRPr="00720A49">
        <w:rPr>
          <w:rFonts w:ascii="Aptos" w:hAnsi="Aptos" w:cs="Arial"/>
        </w:rPr>
        <w:t xml:space="preserve">Southern Company retail electric </w:t>
      </w:r>
      <w:r w:rsidR="0085655E" w:rsidRPr="00720A49">
        <w:rPr>
          <w:rFonts w:ascii="Aptos" w:hAnsi="Aptos" w:cs="Arial"/>
        </w:rPr>
        <w:t>system</w:t>
      </w:r>
      <w:r w:rsidR="00976650" w:rsidRPr="00720A49">
        <w:rPr>
          <w:rFonts w:ascii="Aptos" w:hAnsi="Aptos" w:cs="Arial"/>
        </w:rPr>
        <w:t>.</w:t>
      </w:r>
    </w:p>
    <w:p w14:paraId="3057AED7" w14:textId="10CCA4AD" w:rsidR="0003394F" w:rsidRPr="00720A49" w:rsidRDefault="0003394F" w:rsidP="006E41F2">
      <w:pPr>
        <w:pStyle w:val="Heading2"/>
        <w:rPr>
          <w:rFonts w:ascii="Aptos" w:hAnsi="Aptos"/>
        </w:rPr>
      </w:pPr>
      <w:bookmarkStart w:id="4" w:name="_Hlk83715592"/>
      <w:r w:rsidRPr="00720A49">
        <w:rPr>
          <w:rFonts w:ascii="Aptos" w:hAnsi="Aptos"/>
        </w:rPr>
        <w:t xml:space="preserve">Components Included </w:t>
      </w:r>
      <w:r w:rsidR="00250845" w:rsidRPr="00720A49">
        <w:rPr>
          <w:rFonts w:ascii="Aptos" w:hAnsi="Aptos"/>
        </w:rPr>
        <w:t>in</w:t>
      </w:r>
      <w:r w:rsidRPr="00720A49">
        <w:rPr>
          <w:rFonts w:ascii="Aptos" w:hAnsi="Aptos"/>
        </w:rPr>
        <w:t xml:space="preserve"> </w:t>
      </w:r>
      <w:r w:rsidR="00250845" w:rsidRPr="00720A49">
        <w:rPr>
          <w:rFonts w:ascii="Aptos" w:hAnsi="Aptos"/>
        </w:rPr>
        <w:t xml:space="preserve">the </w:t>
      </w:r>
      <w:r w:rsidRPr="00720A49">
        <w:rPr>
          <w:rFonts w:ascii="Aptos" w:hAnsi="Aptos"/>
        </w:rPr>
        <w:t>Cost-Benefit Analysis</w:t>
      </w:r>
    </w:p>
    <w:bookmarkEnd w:id="4"/>
    <w:p w14:paraId="2EDB410D" w14:textId="3A7A1EF0" w:rsidR="0003394F" w:rsidRPr="00720A49" w:rsidRDefault="0003394F" w:rsidP="00FF3E25">
      <w:pPr>
        <w:jc w:val="both"/>
        <w:rPr>
          <w:rFonts w:ascii="Aptos" w:hAnsi="Aptos" w:cs="Arial"/>
        </w:rPr>
      </w:pPr>
      <w:r w:rsidRPr="00720A49">
        <w:rPr>
          <w:rFonts w:ascii="Aptos" w:hAnsi="Aptos" w:cs="Arial"/>
        </w:rPr>
        <w:t>Southern Compan</w:t>
      </w:r>
      <w:r w:rsidR="008255FD" w:rsidRPr="00720A49">
        <w:rPr>
          <w:rFonts w:ascii="Aptos" w:hAnsi="Aptos" w:cs="Arial"/>
        </w:rPr>
        <w:t>y</w:t>
      </w:r>
      <w:r w:rsidRPr="00720A49">
        <w:rPr>
          <w:rFonts w:ascii="Aptos" w:hAnsi="Aptos" w:cs="Arial"/>
        </w:rPr>
        <w:t xml:space="preserve"> </w:t>
      </w:r>
      <w:r w:rsidR="001064D8" w:rsidRPr="00720A49">
        <w:rPr>
          <w:rFonts w:ascii="Aptos" w:hAnsi="Aptos" w:cs="Arial"/>
        </w:rPr>
        <w:t xml:space="preserve">has </w:t>
      </w:r>
      <w:r w:rsidRPr="00720A49">
        <w:rPr>
          <w:rFonts w:ascii="Aptos" w:hAnsi="Aptos" w:cs="Arial"/>
        </w:rPr>
        <w:t xml:space="preserve">identified </w:t>
      </w:r>
      <w:r w:rsidR="0095247C" w:rsidRPr="00720A49">
        <w:rPr>
          <w:rFonts w:ascii="Aptos" w:hAnsi="Aptos" w:cs="Arial"/>
        </w:rPr>
        <w:t xml:space="preserve">key </w:t>
      </w:r>
      <w:r w:rsidRPr="00720A49">
        <w:rPr>
          <w:rFonts w:ascii="Aptos" w:hAnsi="Aptos" w:cs="Arial"/>
        </w:rPr>
        <w:t xml:space="preserve">components </w:t>
      </w:r>
      <w:r w:rsidR="0095247C" w:rsidRPr="00720A49">
        <w:rPr>
          <w:rFonts w:ascii="Aptos" w:hAnsi="Aptos" w:cs="Arial"/>
        </w:rPr>
        <w:t>of</w:t>
      </w:r>
      <w:r w:rsidR="001064D8" w:rsidRPr="00720A49">
        <w:rPr>
          <w:rFonts w:ascii="Aptos" w:hAnsi="Aptos" w:cs="Arial"/>
        </w:rPr>
        <w:t xml:space="preserve"> </w:t>
      </w:r>
      <w:r w:rsidRPr="00720A49">
        <w:rPr>
          <w:rFonts w:ascii="Aptos" w:hAnsi="Aptos" w:cs="Arial"/>
        </w:rPr>
        <w:t xml:space="preserve">the costs and benefits of </w:t>
      </w:r>
      <w:r w:rsidR="001064D8" w:rsidRPr="00720A49">
        <w:rPr>
          <w:rFonts w:ascii="Aptos" w:hAnsi="Aptos" w:cs="Arial"/>
        </w:rPr>
        <w:t xml:space="preserve">adding </w:t>
      </w:r>
      <w:r w:rsidRPr="00720A49">
        <w:rPr>
          <w:rFonts w:ascii="Aptos" w:hAnsi="Aptos" w:cs="Arial"/>
        </w:rPr>
        <w:t xml:space="preserve">renewable resources on the Southern Company electric system. </w:t>
      </w:r>
    </w:p>
    <w:p w14:paraId="2C5B6C7C" w14:textId="3520AEDC" w:rsidR="0003394F" w:rsidRPr="00720A49" w:rsidRDefault="0095247C" w:rsidP="00FF3E25">
      <w:pPr>
        <w:jc w:val="both"/>
        <w:rPr>
          <w:rFonts w:ascii="Aptos" w:hAnsi="Aptos" w:cs="Arial"/>
        </w:rPr>
      </w:pPr>
      <w:r w:rsidRPr="00720A49">
        <w:rPr>
          <w:rFonts w:ascii="Aptos" w:hAnsi="Aptos" w:cs="Arial"/>
        </w:rPr>
        <w:t>There are</w:t>
      </w:r>
      <w:r w:rsidR="008534EA" w:rsidRPr="00720A49">
        <w:rPr>
          <w:rFonts w:ascii="Aptos" w:hAnsi="Aptos" w:cs="Arial"/>
        </w:rPr>
        <w:t xml:space="preserve"> two primary categories </w:t>
      </w:r>
      <w:r w:rsidRPr="00720A49">
        <w:rPr>
          <w:rFonts w:ascii="Aptos" w:hAnsi="Aptos" w:cs="Arial"/>
        </w:rPr>
        <w:t xml:space="preserve">of renewable generation facilities that </w:t>
      </w:r>
      <w:r w:rsidR="008534EA" w:rsidRPr="00720A49">
        <w:rPr>
          <w:rFonts w:ascii="Aptos" w:hAnsi="Aptos" w:cs="Arial"/>
        </w:rPr>
        <w:t>differentiate the generation type being evaluated</w:t>
      </w:r>
      <w:r w:rsidR="003D23E6" w:rsidRPr="00720A49">
        <w:rPr>
          <w:rFonts w:ascii="Aptos" w:hAnsi="Aptos" w:cs="Arial"/>
        </w:rPr>
        <w:t xml:space="preserve"> or compensated</w:t>
      </w:r>
      <w:r w:rsidR="003D37C9" w:rsidRPr="00720A49">
        <w:rPr>
          <w:rFonts w:ascii="Aptos" w:hAnsi="Aptos" w:cs="Arial"/>
        </w:rPr>
        <w:t>:</w:t>
      </w:r>
    </w:p>
    <w:p w14:paraId="4A5DA5F1" w14:textId="3BF03F75" w:rsidR="0003394F" w:rsidRPr="00720A49" w:rsidRDefault="00CA55F6" w:rsidP="00FF3E25">
      <w:pPr>
        <w:pStyle w:val="ListParagraph"/>
        <w:numPr>
          <w:ilvl w:val="0"/>
          <w:numId w:val="4"/>
        </w:numPr>
        <w:jc w:val="both"/>
        <w:rPr>
          <w:rFonts w:ascii="Aptos" w:hAnsi="Aptos" w:cs="Arial"/>
        </w:rPr>
      </w:pPr>
      <w:r w:rsidRPr="00720A49">
        <w:rPr>
          <w:rFonts w:ascii="Aptos" w:hAnsi="Aptos" w:cs="Arial"/>
          <w:b/>
        </w:rPr>
        <w:t>Utility-</w:t>
      </w:r>
      <w:r w:rsidR="003D37C9" w:rsidRPr="00720A49">
        <w:rPr>
          <w:rFonts w:ascii="Aptos" w:hAnsi="Aptos" w:cs="Arial"/>
          <w:b/>
        </w:rPr>
        <w:t>S</w:t>
      </w:r>
      <w:r w:rsidRPr="00720A49">
        <w:rPr>
          <w:rFonts w:ascii="Aptos" w:hAnsi="Aptos" w:cs="Arial"/>
          <w:b/>
        </w:rPr>
        <w:t>cale</w:t>
      </w:r>
      <w:r w:rsidR="0003394F" w:rsidRPr="00720A49">
        <w:rPr>
          <w:rFonts w:ascii="Aptos" w:hAnsi="Aptos" w:cs="Arial"/>
          <w:b/>
        </w:rPr>
        <w:t xml:space="preserve"> (</w:t>
      </w:r>
      <w:r w:rsidR="003D5E81" w:rsidRPr="00720A49">
        <w:rPr>
          <w:rFonts w:ascii="Aptos" w:hAnsi="Aptos" w:cs="Arial"/>
          <w:b/>
        </w:rPr>
        <w:t>“</w:t>
      </w:r>
      <w:r w:rsidR="0003394F" w:rsidRPr="00720A49">
        <w:rPr>
          <w:rFonts w:ascii="Aptos" w:hAnsi="Aptos" w:cs="Arial"/>
          <w:b/>
        </w:rPr>
        <w:t>US</w:t>
      </w:r>
      <w:r w:rsidR="003D5E81" w:rsidRPr="00720A49">
        <w:rPr>
          <w:rFonts w:ascii="Aptos" w:hAnsi="Aptos" w:cs="Arial"/>
          <w:b/>
        </w:rPr>
        <w:t>”</w:t>
      </w:r>
      <w:r w:rsidR="0003394F" w:rsidRPr="00720A49">
        <w:rPr>
          <w:rFonts w:ascii="Aptos" w:hAnsi="Aptos" w:cs="Arial"/>
          <w:b/>
        </w:rPr>
        <w:t>):</w:t>
      </w:r>
      <w:r w:rsidR="0003394F" w:rsidRPr="00720A49">
        <w:rPr>
          <w:rFonts w:ascii="Aptos" w:hAnsi="Aptos" w:cs="Arial"/>
        </w:rPr>
        <w:t xml:space="preserve">  </w:t>
      </w:r>
      <w:r w:rsidR="008534EA" w:rsidRPr="00720A49">
        <w:rPr>
          <w:rFonts w:ascii="Aptos" w:hAnsi="Aptos" w:cs="Arial"/>
        </w:rPr>
        <w:t>Large</w:t>
      </w:r>
      <w:r w:rsidR="00671A1D" w:rsidRPr="00720A49">
        <w:rPr>
          <w:rFonts w:ascii="Aptos" w:hAnsi="Aptos" w:cs="Arial"/>
        </w:rPr>
        <w:t>-</w:t>
      </w:r>
      <w:r w:rsidR="008534EA" w:rsidRPr="00720A49">
        <w:rPr>
          <w:rFonts w:ascii="Aptos" w:hAnsi="Aptos" w:cs="Arial"/>
        </w:rPr>
        <w:t>scale</w:t>
      </w:r>
      <w:r w:rsidR="00807AEB" w:rsidRPr="00720A49">
        <w:rPr>
          <w:rFonts w:ascii="Aptos" w:hAnsi="Aptos" w:cs="Arial"/>
        </w:rPr>
        <w:t xml:space="preserve"> </w:t>
      </w:r>
      <w:r w:rsidR="008450BF" w:rsidRPr="00720A49">
        <w:rPr>
          <w:rFonts w:ascii="Aptos" w:hAnsi="Aptos" w:cs="Arial"/>
        </w:rPr>
        <w:t xml:space="preserve">renewable </w:t>
      </w:r>
      <w:r w:rsidR="0003394F" w:rsidRPr="00720A49">
        <w:rPr>
          <w:rFonts w:ascii="Aptos" w:hAnsi="Aptos" w:cs="Arial"/>
        </w:rPr>
        <w:t xml:space="preserve">generation facilities </w:t>
      </w:r>
      <w:r w:rsidR="00671A1D" w:rsidRPr="00720A49">
        <w:rPr>
          <w:rFonts w:ascii="Aptos" w:hAnsi="Aptos" w:cs="Arial"/>
        </w:rPr>
        <w:t>are</w:t>
      </w:r>
      <w:r w:rsidR="008534EA" w:rsidRPr="00720A49">
        <w:rPr>
          <w:rFonts w:ascii="Aptos" w:hAnsi="Aptos" w:cs="Arial"/>
        </w:rPr>
        <w:t xml:space="preserve"> </w:t>
      </w:r>
      <w:r w:rsidR="00560F31" w:rsidRPr="00720A49">
        <w:rPr>
          <w:rFonts w:ascii="Aptos" w:hAnsi="Aptos" w:cs="Arial"/>
        </w:rPr>
        <w:t xml:space="preserve">generally </w:t>
      </w:r>
      <w:r w:rsidR="008534EA" w:rsidRPr="00720A49">
        <w:rPr>
          <w:rFonts w:ascii="Aptos" w:hAnsi="Aptos" w:cs="Arial"/>
        </w:rPr>
        <w:t>connected at</w:t>
      </w:r>
      <w:r w:rsidR="0003394F" w:rsidRPr="00720A49">
        <w:rPr>
          <w:rFonts w:ascii="Aptos" w:hAnsi="Aptos" w:cs="Arial"/>
        </w:rPr>
        <w:t xml:space="preserve"> the transmission level</w:t>
      </w:r>
      <w:r w:rsidR="007C4C28" w:rsidRPr="00720A49">
        <w:rPr>
          <w:rFonts w:ascii="Aptos" w:hAnsi="Aptos" w:cs="Arial"/>
        </w:rPr>
        <w:t xml:space="preserve"> (</w:t>
      </w:r>
      <w:r w:rsidR="003D5E81" w:rsidRPr="00720A49">
        <w:rPr>
          <w:rFonts w:ascii="Aptos" w:hAnsi="Aptos" w:cs="Arial"/>
        </w:rPr>
        <w:t>“</w:t>
      </w:r>
      <w:r w:rsidR="007C4C28" w:rsidRPr="00720A49">
        <w:rPr>
          <w:rFonts w:ascii="Aptos" w:hAnsi="Aptos" w:cs="Arial"/>
        </w:rPr>
        <w:t>US-T</w:t>
      </w:r>
      <w:r w:rsidR="003D5E81" w:rsidRPr="00720A49">
        <w:rPr>
          <w:rFonts w:ascii="Aptos" w:hAnsi="Aptos" w:cs="Arial"/>
        </w:rPr>
        <w:t>”</w:t>
      </w:r>
      <w:r w:rsidR="007C4C28" w:rsidRPr="00720A49">
        <w:rPr>
          <w:rFonts w:ascii="Aptos" w:hAnsi="Aptos" w:cs="Arial"/>
        </w:rPr>
        <w:t>)</w:t>
      </w:r>
      <w:r w:rsidR="00874BF1" w:rsidRPr="00720A49">
        <w:rPr>
          <w:rFonts w:ascii="Aptos" w:hAnsi="Aptos" w:cs="Arial"/>
        </w:rPr>
        <w:t xml:space="preserve"> </w:t>
      </w:r>
      <w:r w:rsidR="00560F31" w:rsidRPr="00720A49">
        <w:rPr>
          <w:rFonts w:ascii="Aptos" w:hAnsi="Aptos" w:cs="Arial"/>
        </w:rPr>
        <w:t xml:space="preserve">but may also be connected </w:t>
      </w:r>
      <w:r w:rsidR="00874BF1" w:rsidRPr="00720A49">
        <w:rPr>
          <w:rFonts w:ascii="Aptos" w:hAnsi="Aptos" w:cs="Arial"/>
        </w:rPr>
        <w:t xml:space="preserve">at the distribution level </w:t>
      </w:r>
      <w:r w:rsidR="007C4C28" w:rsidRPr="00720A49">
        <w:rPr>
          <w:rFonts w:ascii="Aptos" w:hAnsi="Aptos" w:cs="Arial"/>
        </w:rPr>
        <w:t>(</w:t>
      </w:r>
      <w:r w:rsidR="003D5E81" w:rsidRPr="00720A49">
        <w:rPr>
          <w:rFonts w:ascii="Aptos" w:hAnsi="Aptos" w:cs="Arial"/>
        </w:rPr>
        <w:t>“</w:t>
      </w:r>
      <w:r w:rsidR="007C4C28" w:rsidRPr="00720A49">
        <w:rPr>
          <w:rFonts w:ascii="Aptos" w:hAnsi="Aptos" w:cs="Arial"/>
        </w:rPr>
        <w:t>US-D</w:t>
      </w:r>
      <w:r w:rsidR="003D5E81" w:rsidRPr="00720A49">
        <w:rPr>
          <w:rFonts w:ascii="Aptos" w:hAnsi="Aptos" w:cs="Arial"/>
        </w:rPr>
        <w:t>”</w:t>
      </w:r>
      <w:r w:rsidR="007C4C28" w:rsidRPr="00720A49">
        <w:rPr>
          <w:rFonts w:ascii="Aptos" w:hAnsi="Aptos" w:cs="Arial"/>
        </w:rPr>
        <w:t>)</w:t>
      </w:r>
      <w:r w:rsidR="00874BF1" w:rsidRPr="00720A49">
        <w:rPr>
          <w:rFonts w:ascii="Aptos" w:hAnsi="Aptos" w:cs="Arial"/>
        </w:rPr>
        <w:t>.</w:t>
      </w:r>
    </w:p>
    <w:p w14:paraId="2B170E63" w14:textId="2F3C6314" w:rsidR="008534EA" w:rsidRPr="00720A49" w:rsidRDefault="0003394F" w:rsidP="00FF3E25">
      <w:pPr>
        <w:pStyle w:val="ListParagraph"/>
        <w:numPr>
          <w:ilvl w:val="0"/>
          <w:numId w:val="4"/>
        </w:numPr>
        <w:jc w:val="both"/>
        <w:rPr>
          <w:rFonts w:ascii="Aptos" w:hAnsi="Aptos" w:cs="Arial"/>
        </w:rPr>
      </w:pPr>
      <w:r w:rsidRPr="00720A49">
        <w:rPr>
          <w:rFonts w:ascii="Aptos" w:hAnsi="Aptos" w:cs="Arial"/>
          <w:b/>
        </w:rPr>
        <w:t>Distributed</w:t>
      </w:r>
      <w:r w:rsidR="007C4C28" w:rsidRPr="00720A49">
        <w:rPr>
          <w:rFonts w:ascii="Aptos" w:hAnsi="Aptos" w:cs="Arial"/>
          <w:b/>
        </w:rPr>
        <w:t xml:space="preserve"> Generation</w:t>
      </w:r>
      <w:r w:rsidRPr="00720A49">
        <w:rPr>
          <w:rFonts w:ascii="Aptos" w:hAnsi="Aptos" w:cs="Arial"/>
          <w:b/>
        </w:rPr>
        <w:t xml:space="preserve"> (</w:t>
      </w:r>
      <w:r w:rsidR="003D5E81" w:rsidRPr="00720A49">
        <w:rPr>
          <w:rFonts w:ascii="Aptos" w:hAnsi="Aptos" w:cs="Arial"/>
          <w:b/>
        </w:rPr>
        <w:t>“</w:t>
      </w:r>
      <w:r w:rsidRPr="00720A49">
        <w:rPr>
          <w:rFonts w:ascii="Aptos" w:hAnsi="Aptos" w:cs="Arial"/>
          <w:b/>
        </w:rPr>
        <w:t>DG</w:t>
      </w:r>
      <w:r w:rsidR="003D5E81" w:rsidRPr="00720A49">
        <w:rPr>
          <w:rFonts w:ascii="Aptos" w:hAnsi="Aptos" w:cs="Arial"/>
          <w:b/>
        </w:rPr>
        <w:t>”</w:t>
      </w:r>
      <w:r w:rsidRPr="00720A49">
        <w:rPr>
          <w:rFonts w:ascii="Aptos" w:hAnsi="Aptos" w:cs="Arial"/>
          <w:b/>
        </w:rPr>
        <w:t>):</w:t>
      </w:r>
      <w:r w:rsidRPr="00720A49">
        <w:rPr>
          <w:rFonts w:ascii="Aptos" w:hAnsi="Aptos" w:cs="Arial"/>
        </w:rPr>
        <w:t xml:space="preserve"> </w:t>
      </w:r>
      <w:r w:rsidR="00AA319F" w:rsidRPr="00720A49">
        <w:rPr>
          <w:rFonts w:ascii="Aptos" w:hAnsi="Aptos" w:cs="Arial"/>
        </w:rPr>
        <w:t xml:space="preserve"> </w:t>
      </w:r>
      <w:r w:rsidR="008534EA" w:rsidRPr="00720A49">
        <w:rPr>
          <w:rFonts w:ascii="Aptos" w:hAnsi="Aptos" w:cs="Arial"/>
        </w:rPr>
        <w:t>Small</w:t>
      </w:r>
      <w:r w:rsidR="00671A1D" w:rsidRPr="00720A49">
        <w:rPr>
          <w:rFonts w:ascii="Aptos" w:hAnsi="Aptos" w:cs="Arial"/>
        </w:rPr>
        <w:t>-</w:t>
      </w:r>
      <w:r w:rsidR="008534EA" w:rsidRPr="00720A49">
        <w:rPr>
          <w:rFonts w:ascii="Aptos" w:hAnsi="Aptos" w:cs="Arial"/>
        </w:rPr>
        <w:t xml:space="preserve">scale </w:t>
      </w:r>
      <w:r w:rsidR="008450BF" w:rsidRPr="00720A49">
        <w:rPr>
          <w:rFonts w:ascii="Aptos" w:hAnsi="Aptos" w:cs="Arial"/>
        </w:rPr>
        <w:t xml:space="preserve">renewable </w:t>
      </w:r>
      <w:r w:rsidRPr="00720A49">
        <w:rPr>
          <w:rFonts w:ascii="Aptos" w:hAnsi="Aptos" w:cs="Arial"/>
        </w:rPr>
        <w:t>generation facilities are connected at the distribution level</w:t>
      </w:r>
      <w:r w:rsidR="00560F31" w:rsidRPr="00720A49">
        <w:rPr>
          <w:rFonts w:ascii="Aptos" w:hAnsi="Aptos" w:cs="Arial"/>
        </w:rPr>
        <w:t xml:space="preserve"> and are intended to serve local load</w:t>
      </w:r>
      <w:r w:rsidR="008534EA" w:rsidRPr="00720A49">
        <w:rPr>
          <w:rFonts w:ascii="Aptos" w:hAnsi="Aptos" w:cs="Arial"/>
        </w:rPr>
        <w:t>.</w:t>
      </w:r>
    </w:p>
    <w:p w14:paraId="7AA24DDB" w14:textId="77D48A4B" w:rsidR="0095247C" w:rsidRPr="00720A49" w:rsidRDefault="0095247C" w:rsidP="00FF3E25">
      <w:pPr>
        <w:jc w:val="both"/>
        <w:rPr>
          <w:rFonts w:ascii="Aptos" w:hAnsi="Aptos" w:cs="Arial"/>
        </w:rPr>
      </w:pPr>
      <w:r w:rsidRPr="00720A49">
        <w:rPr>
          <w:rFonts w:ascii="Aptos" w:hAnsi="Aptos" w:cs="Arial"/>
        </w:rPr>
        <w:t>See Appendix A for single-line diagrams of the categories.</w:t>
      </w:r>
    </w:p>
    <w:p w14:paraId="55ED8D2F" w14:textId="6059B2F5" w:rsidR="007E6F84" w:rsidRPr="00720A49" w:rsidRDefault="00445BDD" w:rsidP="00FF3E25">
      <w:pPr>
        <w:jc w:val="both"/>
        <w:rPr>
          <w:rFonts w:ascii="Aptos" w:hAnsi="Aptos" w:cs="Arial"/>
        </w:rPr>
      </w:pPr>
      <w:r w:rsidRPr="00720A49">
        <w:rPr>
          <w:rFonts w:ascii="Aptos" w:hAnsi="Aptos" w:cs="Arial"/>
        </w:rPr>
        <w:t xml:space="preserve">Furthermore, renewable generation facilities may be differentiated based on </w:t>
      </w:r>
      <w:r w:rsidR="003D23E6" w:rsidRPr="00720A49">
        <w:rPr>
          <w:rFonts w:ascii="Aptos" w:hAnsi="Aptos" w:cs="Arial"/>
        </w:rPr>
        <w:t>their</w:t>
      </w:r>
      <w:r w:rsidRPr="00720A49">
        <w:rPr>
          <w:rFonts w:ascii="Aptos" w:hAnsi="Aptos" w:cs="Arial"/>
        </w:rPr>
        <w:t xml:space="preserve"> obligation to perform. An obligation to perform may be established through a regulatory certification and/or an executed contract</w:t>
      </w:r>
      <w:r w:rsidR="003D23E6" w:rsidRPr="00720A49">
        <w:rPr>
          <w:rFonts w:ascii="Aptos" w:hAnsi="Aptos" w:cs="Arial"/>
        </w:rPr>
        <w:t xml:space="preserve"> </w:t>
      </w:r>
      <w:r w:rsidR="003D5E81" w:rsidRPr="00720A49">
        <w:rPr>
          <w:rFonts w:ascii="Aptos" w:hAnsi="Aptos" w:cs="Arial"/>
        </w:rPr>
        <w:t>that</w:t>
      </w:r>
      <w:r w:rsidR="003D23E6" w:rsidRPr="00720A49">
        <w:rPr>
          <w:rFonts w:ascii="Aptos" w:hAnsi="Aptos" w:cs="Arial"/>
        </w:rPr>
        <w:t xml:space="preserve"> includes performance expectations and remedies</w:t>
      </w:r>
      <w:r w:rsidRPr="00720A49">
        <w:rPr>
          <w:rFonts w:ascii="Aptos" w:hAnsi="Aptos" w:cs="Arial"/>
        </w:rPr>
        <w:t xml:space="preserve">. Not all resources carry such an </w:t>
      </w:r>
      <w:r w:rsidR="007E6F84" w:rsidRPr="00720A49">
        <w:rPr>
          <w:rFonts w:ascii="Aptos" w:hAnsi="Aptos" w:cs="Arial"/>
        </w:rPr>
        <w:t>obligation, and the costs and benefits should be considered appropriately. The primary example of a resource without an obligation to perform is an energy</w:t>
      </w:r>
      <w:r w:rsidR="003D37C9" w:rsidRPr="00720A49">
        <w:rPr>
          <w:rFonts w:ascii="Aptos" w:hAnsi="Aptos" w:cs="Arial"/>
        </w:rPr>
        <w:t>-</w:t>
      </w:r>
      <w:r w:rsidR="007E6F84" w:rsidRPr="00720A49">
        <w:rPr>
          <w:rFonts w:ascii="Aptos" w:hAnsi="Aptos" w:cs="Arial"/>
        </w:rPr>
        <w:t>only PURPA Qualif</w:t>
      </w:r>
      <w:r w:rsidR="00D56265">
        <w:rPr>
          <w:rFonts w:ascii="Aptos" w:hAnsi="Aptos" w:cs="Arial"/>
        </w:rPr>
        <w:t>ying</w:t>
      </w:r>
      <w:r w:rsidR="007E6F84" w:rsidRPr="00720A49">
        <w:rPr>
          <w:rFonts w:ascii="Aptos" w:hAnsi="Aptos" w:cs="Arial"/>
        </w:rPr>
        <w:t xml:space="preserve"> Facility</w:t>
      </w:r>
      <w:r w:rsidR="003D23E6" w:rsidRPr="00720A49">
        <w:rPr>
          <w:rFonts w:ascii="Aptos" w:hAnsi="Aptos" w:cs="Arial"/>
        </w:rPr>
        <w:t xml:space="preserve"> which </w:t>
      </w:r>
      <w:r w:rsidR="003D5E81" w:rsidRPr="00720A49">
        <w:rPr>
          <w:rFonts w:ascii="Aptos" w:hAnsi="Aptos" w:cs="Arial"/>
        </w:rPr>
        <w:t>is</w:t>
      </w:r>
      <w:r w:rsidR="003D23E6" w:rsidRPr="00720A49">
        <w:rPr>
          <w:rFonts w:ascii="Aptos" w:hAnsi="Aptos" w:cs="Arial"/>
        </w:rPr>
        <w:t xml:space="preserve"> paid an avoided cost rate</w:t>
      </w:r>
      <w:r w:rsidR="007E6F84" w:rsidRPr="00720A49">
        <w:rPr>
          <w:rFonts w:ascii="Aptos" w:hAnsi="Aptos" w:cs="Arial"/>
        </w:rPr>
        <w:t xml:space="preserve">. </w:t>
      </w:r>
    </w:p>
    <w:p w14:paraId="2CB6DD1F" w14:textId="7A465A3F" w:rsidR="007E6F84" w:rsidRPr="00720A49" w:rsidRDefault="007E6F84" w:rsidP="00FF3E25">
      <w:pPr>
        <w:jc w:val="both"/>
        <w:rPr>
          <w:rFonts w:ascii="Aptos" w:hAnsi="Aptos" w:cs="Arial"/>
        </w:rPr>
      </w:pPr>
      <w:r w:rsidRPr="00720A49">
        <w:rPr>
          <w:rFonts w:ascii="Aptos" w:hAnsi="Aptos" w:cs="Arial"/>
        </w:rPr>
        <w:t xml:space="preserve">For purposes of the RCB Framework, this differentiation related to </w:t>
      </w:r>
      <w:r w:rsidR="003D37C9" w:rsidRPr="00720A49">
        <w:rPr>
          <w:rFonts w:ascii="Aptos" w:hAnsi="Aptos" w:cs="Arial"/>
        </w:rPr>
        <w:t xml:space="preserve">the </w:t>
      </w:r>
      <w:r w:rsidRPr="00720A49">
        <w:rPr>
          <w:rFonts w:ascii="Aptos" w:hAnsi="Aptos" w:cs="Arial"/>
        </w:rPr>
        <w:t>obligation to perform is generalized as:</w:t>
      </w:r>
    </w:p>
    <w:p w14:paraId="7460D18D" w14:textId="45D6B025" w:rsidR="007E6F84" w:rsidRPr="00720A49" w:rsidRDefault="007E6F84" w:rsidP="00FF3E25">
      <w:pPr>
        <w:pStyle w:val="ListParagraph"/>
        <w:numPr>
          <w:ilvl w:val="0"/>
          <w:numId w:val="6"/>
        </w:numPr>
        <w:jc w:val="both"/>
        <w:rPr>
          <w:rFonts w:ascii="Aptos" w:hAnsi="Aptos" w:cs="Arial"/>
          <w:b/>
          <w:bCs/>
        </w:rPr>
      </w:pPr>
      <w:r w:rsidRPr="00720A49">
        <w:rPr>
          <w:rFonts w:ascii="Aptos" w:hAnsi="Aptos" w:cs="Arial"/>
          <w:b/>
          <w:bCs/>
        </w:rPr>
        <w:t>Utility</w:t>
      </w:r>
      <w:r w:rsidR="003D37C9" w:rsidRPr="00720A49">
        <w:rPr>
          <w:rFonts w:ascii="Aptos" w:hAnsi="Aptos" w:cs="Arial"/>
          <w:b/>
          <w:bCs/>
        </w:rPr>
        <w:t>-</w:t>
      </w:r>
      <w:r w:rsidRPr="00720A49">
        <w:rPr>
          <w:rFonts w:ascii="Aptos" w:hAnsi="Aptos" w:cs="Arial"/>
          <w:b/>
          <w:bCs/>
        </w:rPr>
        <w:t>Owned or Contracted Resources</w:t>
      </w:r>
      <w:r w:rsidR="003D23E6" w:rsidRPr="00720A49">
        <w:rPr>
          <w:rFonts w:ascii="Aptos" w:hAnsi="Aptos" w:cs="Arial"/>
          <w:b/>
          <w:bCs/>
        </w:rPr>
        <w:t xml:space="preserve">: </w:t>
      </w:r>
      <w:r w:rsidR="003D23E6" w:rsidRPr="00720A49">
        <w:rPr>
          <w:rFonts w:ascii="Aptos" w:hAnsi="Aptos" w:cs="Arial"/>
        </w:rPr>
        <w:t>Resource</w:t>
      </w:r>
      <w:r w:rsidR="005D2FD9" w:rsidRPr="00720A49">
        <w:rPr>
          <w:rFonts w:ascii="Aptos" w:hAnsi="Aptos" w:cs="Arial"/>
        </w:rPr>
        <w:t>s</w:t>
      </w:r>
      <w:r w:rsidR="003D23E6" w:rsidRPr="00720A49">
        <w:rPr>
          <w:rFonts w:ascii="Aptos" w:hAnsi="Aptos" w:cs="Arial"/>
        </w:rPr>
        <w:t xml:space="preserve"> that are owned by the Utility and certified by the regulator authority or covered by a purchase agreement </w:t>
      </w:r>
      <w:r w:rsidR="003D5E81" w:rsidRPr="00720A49">
        <w:rPr>
          <w:rFonts w:ascii="Aptos" w:hAnsi="Aptos" w:cs="Arial"/>
        </w:rPr>
        <w:t>that</w:t>
      </w:r>
      <w:r w:rsidR="003D23E6" w:rsidRPr="00720A49">
        <w:rPr>
          <w:rFonts w:ascii="Aptos" w:hAnsi="Aptos" w:cs="Arial"/>
        </w:rPr>
        <w:t xml:space="preserve"> includes specific performance obligations and remedies for non-performance.</w:t>
      </w:r>
    </w:p>
    <w:p w14:paraId="271A8B39" w14:textId="77777777" w:rsidR="00E5655C" w:rsidRPr="00720A49" w:rsidRDefault="00E5655C" w:rsidP="00E5655C">
      <w:pPr>
        <w:jc w:val="both"/>
        <w:rPr>
          <w:rFonts w:ascii="Aptos" w:hAnsi="Aptos" w:cs="Arial"/>
          <w:b/>
          <w:bCs/>
        </w:rPr>
      </w:pPr>
    </w:p>
    <w:p w14:paraId="7B0EA1C3" w14:textId="61CA73B6" w:rsidR="007E6F84" w:rsidRPr="00720A49" w:rsidRDefault="007E6F84" w:rsidP="00FF3E25">
      <w:pPr>
        <w:pStyle w:val="ListParagraph"/>
        <w:numPr>
          <w:ilvl w:val="0"/>
          <w:numId w:val="6"/>
        </w:numPr>
        <w:jc w:val="both"/>
        <w:rPr>
          <w:rFonts w:ascii="Aptos" w:hAnsi="Aptos" w:cs="Arial"/>
          <w:b/>
          <w:bCs/>
        </w:rPr>
      </w:pPr>
      <w:r w:rsidRPr="00720A49">
        <w:rPr>
          <w:rFonts w:ascii="Aptos" w:hAnsi="Aptos" w:cs="Arial"/>
          <w:b/>
          <w:bCs/>
        </w:rPr>
        <w:lastRenderedPageBreak/>
        <w:t>Energy</w:t>
      </w:r>
      <w:r w:rsidR="003D37C9" w:rsidRPr="00720A49">
        <w:rPr>
          <w:rFonts w:ascii="Aptos" w:hAnsi="Aptos" w:cs="Arial"/>
          <w:b/>
          <w:bCs/>
        </w:rPr>
        <w:t>-</w:t>
      </w:r>
      <w:r w:rsidRPr="00720A49">
        <w:rPr>
          <w:rFonts w:ascii="Aptos" w:hAnsi="Aptos" w:cs="Arial"/>
          <w:b/>
          <w:bCs/>
        </w:rPr>
        <w:t>Only Resources</w:t>
      </w:r>
      <w:r w:rsidR="003D23E6" w:rsidRPr="00720A49">
        <w:rPr>
          <w:rFonts w:ascii="Aptos" w:hAnsi="Aptos" w:cs="Arial"/>
          <w:b/>
          <w:bCs/>
        </w:rPr>
        <w:t xml:space="preserve">: </w:t>
      </w:r>
      <w:r w:rsidR="003D23E6" w:rsidRPr="00720A49">
        <w:rPr>
          <w:rFonts w:ascii="Aptos" w:hAnsi="Aptos" w:cs="Arial"/>
        </w:rPr>
        <w:t>Resources that provide “as generated” energy to the electric system but do not have a firm obligation to perform. The resources may be covered under standard contracts, but the contracts generally lack performance requirements related to the resources</w:t>
      </w:r>
      <w:r w:rsidR="00D240AB" w:rsidRPr="00720A49">
        <w:rPr>
          <w:rFonts w:ascii="Aptos" w:hAnsi="Aptos" w:cs="Arial"/>
        </w:rPr>
        <w:t>’</w:t>
      </w:r>
      <w:r w:rsidR="003D23E6" w:rsidRPr="00720A49">
        <w:rPr>
          <w:rFonts w:ascii="Aptos" w:hAnsi="Aptos" w:cs="Arial"/>
        </w:rPr>
        <w:t xml:space="preserve"> availability.</w:t>
      </w:r>
    </w:p>
    <w:p w14:paraId="4DD0AA1A" w14:textId="6BE6E914" w:rsidR="0003394F" w:rsidRPr="00720A49" w:rsidRDefault="0003394F" w:rsidP="00FF3E25">
      <w:pPr>
        <w:jc w:val="both"/>
        <w:rPr>
          <w:rFonts w:ascii="Aptos" w:hAnsi="Aptos" w:cs="Arial"/>
        </w:rPr>
      </w:pPr>
      <w:r w:rsidRPr="00720A49">
        <w:rPr>
          <w:rFonts w:ascii="Aptos" w:hAnsi="Aptos" w:cs="Arial"/>
        </w:rPr>
        <w:t xml:space="preserve">Table 1 shows the list </w:t>
      </w:r>
      <w:r w:rsidR="00D93F9E" w:rsidRPr="00720A49">
        <w:rPr>
          <w:rFonts w:ascii="Aptos" w:hAnsi="Aptos" w:cs="Arial"/>
        </w:rPr>
        <w:t xml:space="preserve">of </w:t>
      </w:r>
      <w:r w:rsidRPr="00720A49">
        <w:rPr>
          <w:rFonts w:ascii="Aptos" w:hAnsi="Aptos" w:cs="Arial"/>
        </w:rPr>
        <w:t xml:space="preserve">components included in </w:t>
      </w:r>
      <w:r w:rsidR="00E0281B" w:rsidRPr="00720A49">
        <w:rPr>
          <w:rFonts w:ascii="Aptos" w:hAnsi="Aptos" w:cs="Arial"/>
        </w:rPr>
        <w:t xml:space="preserve">the </w:t>
      </w:r>
      <w:r w:rsidR="0095247C" w:rsidRPr="00720A49">
        <w:rPr>
          <w:rFonts w:ascii="Aptos" w:hAnsi="Aptos" w:cs="Arial"/>
        </w:rPr>
        <w:t xml:space="preserve">Southern Company </w:t>
      </w:r>
      <w:r w:rsidR="00E0281B" w:rsidRPr="00720A49">
        <w:rPr>
          <w:rFonts w:ascii="Aptos" w:hAnsi="Aptos" w:cs="Arial"/>
        </w:rPr>
        <w:t xml:space="preserve">RCB </w:t>
      </w:r>
      <w:r w:rsidRPr="00720A49">
        <w:rPr>
          <w:rFonts w:ascii="Aptos" w:hAnsi="Aptos" w:cs="Arial"/>
        </w:rPr>
        <w:t>Framework</w:t>
      </w:r>
      <w:r w:rsidR="007E6F84" w:rsidRPr="00720A49">
        <w:rPr>
          <w:rFonts w:ascii="Aptos" w:hAnsi="Aptos" w:cs="Arial"/>
        </w:rPr>
        <w:t>,</w:t>
      </w:r>
      <w:r w:rsidRPr="00720A49">
        <w:rPr>
          <w:rFonts w:ascii="Aptos" w:hAnsi="Aptos" w:cs="Arial"/>
        </w:rPr>
        <w:t xml:space="preserve"> whether each component is a cost or a benefit</w:t>
      </w:r>
      <w:r w:rsidR="007E6F84" w:rsidRPr="00720A49">
        <w:rPr>
          <w:rFonts w:ascii="Aptos" w:hAnsi="Aptos" w:cs="Arial"/>
        </w:rPr>
        <w:t>, and if each component should be considered based on the obligation to perform</w:t>
      </w:r>
      <w:r w:rsidRPr="00720A49">
        <w:rPr>
          <w:rFonts w:ascii="Aptos" w:hAnsi="Aptos" w:cs="Arial"/>
        </w:rPr>
        <w:t xml:space="preserve">. Each component is discussed </w:t>
      </w:r>
      <w:r w:rsidR="00D93F9E" w:rsidRPr="00720A49">
        <w:rPr>
          <w:rFonts w:ascii="Aptos" w:hAnsi="Aptos" w:cs="Arial"/>
        </w:rPr>
        <w:t xml:space="preserve">in </w:t>
      </w:r>
      <w:r w:rsidRPr="00720A49">
        <w:rPr>
          <w:rFonts w:ascii="Aptos" w:hAnsi="Aptos" w:cs="Arial"/>
        </w:rPr>
        <w:t xml:space="preserve">further </w:t>
      </w:r>
      <w:r w:rsidR="008534EA" w:rsidRPr="00720A49">
        <w:rPr>
          <w:rFonts w:ascii="Aptos" w:hAnsi="Aptos" w:cs="Arial"/>
        </w:rPr>
        <w:t xml:space="preserve">detail </w:t>
      </w:r>
      <w:r w:rsidRPr="00720A49">
        <w:rPr>
          <w:rFonts w:ascii="Aptos" w:hAnsi="Aptos" w:cs="Arial"/>
        </w:rPr>
        <w:t>in Section 3.</w:t>
      </w:r>
    </w:p>
    <w:p w14:paraId="10563AA4" w14:textId="734A803A" w:rsidR="006E41F2" w:rsidRPr="00720A49" w:rsidRDefault="006E41F2" w:rsidP="00FF3E25">
      <w:pPr>
        <w:pStyle w:val="Caption"/>
        <w:keepNext/>
        <w:jc w:val="center"/>
        <w:rPr>
          <w:rFonts w:ascii="Aptos" w:hAnsi="Aptos" w:cs="Arial"/>
          <w:color w:val="000000" w:themeColor="text1"/>
          <w:sz w:val="20"/>
          <w:szCs w:val="20"/>
        </w:rPr>
      </w:pPr>
      <w:bookmarkStart w:id="5" w:name="_Hlk83715599"/>
      <w:r w:rsidRPr="00720A49">
        <w:rPr>
          <w:rFonts w:ascii="Aptos" w:hAnsi="Aptos" w:cs="Arial"/>
          <w:color w:val="000000" w:themeColor="text1"/>
          <w:sz w:val="20"/>
          <w:szCs w:val="20"/>
        </w:rPr>
        <w:t xml:space="preserve">Table </w:t>
      </w:r>
      <w:r w:rsidRPr="00720A49">
        <w:rPr>
          <w:rFonts w:ascii="Aptos" w:hAnsi="Aptos" w:cs="Arial"/>
          <w:color w:val="000000" w:themeColor="text1"/>
          <w:sz w:val="20"/>
          <w:szCs w:val="20"/>
        </w:rPr>
        <w:fldChar w:fldCharType="begin"/>
      </w:r>
      <w:r w:rsidRPr="00720A49">
        <w:rPr>
          <w:rFonts w:ascii="Aptos" w:hAnsi="Aptos" w:cs="Arial"/>
          <w:color w:val="000000" w:themeColor="text1"/>
          <w:sz w:val="20"/>
          <w:szCs w:val="20"/>
        </w:rPr>
        <w:instrText xml:space="preserve"> SEQ Table \* ARABIC </w:instrText>
      </w:r>
      <w:r w:rsidRPr="00720A49">
        <w:rPr>
          <w:rFonts w:ascii="Aptos" w:hAnsi="Aptos" w:cs="Arial"/>
          <w:color w:val="000000" w:themeColor="text1"/>
          <w:sz w:val="20"/>
          <w:szCs w:val="20"/>
        </w:rPr>
        <w:fldChar w:fldCharType="separate"/>
      </w:r>
      <w:r w:rsidRPr="00720A49">
        <w:rPr>
          <w:rFonts w:ascii="Aptos" w:hAnsi="Aptos" w:cs="Arial"/>
          <w:noProof/>
          <w:color w:val="000000" w:themeColor="text1"/>
          <w:sz w:val="20"/>
          <w:szCs w:val="20"/>
        </w:rPr>
        <w:t>1</w:t>
      </w:r>
      <w:r w:rsidRPr="00720A49">
        <w:rPr>
          <w:rFonts w:ascii="Aptos" w:hAnsi="Aptos" w:cs="Arial"/>
          <w:color w:val="000000" w:themeColor="text1"/>
          <w:sz w:val="20"/>
          <w:szCs w:val="20"/>
        </w:rPr>
        <w:fldChar w:fldCharType="end"/>
      </w:r>
      <w:r w:rsidRPr="00720A49">
        <w:rPr>
          <w:rFonts w:ascii="Aptos" w:hAnsi="Aptos" w:cs="Arial"/>
          <w:color w:val="000000" w:themeColor="text1"/>
          <w:sz w:val="20"/>
          <w:szCs w:val="20"/>
        </w:rPr>
        <w:t>: Renewable Cost</w:t>
      </w:r>
      <w:r w:rsidR="001B3EB0" w:rsidRPr="00720A49">
        <w:rPr>
          <w:rFonts w:ascii="Aptos" w:hAnsi="Aptos" w:cs="Arial"/>
          <w:color w:val="000000" w:themeColor="text1"/>
          <w:sz w:val="20"/>
          <w:szCs w:val="20"/>
        </w:rPr>
        <w:t>-</w:t>
      </w:r>
      <w:r w:rsidRPr="00720A49">
        <w:rPr>
          <w:rFonts w:ascii="Aptos" w:hAnsi="Aptos" w:cs="Arial"/>
          <w:color w:val="000000" w:themeColor="text1"/>
          <w:sz w:val="20"/>
          <w:szCs w:val="20"/>
        </w:rPr>
        <w:t>Benefit Components</w:t>
      </w:r>
    </w:p>
    <w:tbl>
      <w:tblPr>
        <w:tblStyle w:val="MediumShading1-Accent1"/>
        <w:tblW w:w="5000" w:type="pct"/>
        <w:jc w:val="center"/>
        <w:tblLook w:val="04A0" w:firstRow="1" w:lastRow="0" w:firstColumn="1" w:lastColumn="0" w:noHBand="0" w:noVBand="1"/>
      </w:tblPr>
      <w:tblGrid>
        <w:gridCol w:w="3862"/>
        <w:gridCol w:w="1370"/>
        <w:gridCol w:w="1370"/>
        <w:gridCol w:w="1369"/>
        <w:gridCol w:w="1369"/>
      </w:tblGrid>
      <w:tr w:rsidR="000405C1" w:rsidRPr="00720A49" w14:paraId="784D4CC6" w14:textId="43BA62CD" w:rsidTr="00924B4F">
        <w:trPr>
          <w:cnfStyle w:val="100000000000" w:firstRow="1" w:lastRow="0" w:firstColumn="0" w:lastColumn="0" w:oddVBand="0" w:evenVBand="0" w:oddHBand="0" w:evenHBand="0" w:firstRowFirstColumn="0" w:firstRowLastColumn="0" w:lastRowFirstColumn="0" w:lastRowLastColumn="0"/>
          <w:cantSplit/>
          <w:trHeight w:val="555"/>
          <w:jc w:val="center"/>
        </w:trPr>
        <w:tc>
          <w:tcPr>
            <w:cnfStyle w:val="001000000000" w:firstRow="0" w:lastRow="0" w:firstColumn="1" w:lastColumn="0" w:oddVBand="0" w:evenVBand="0" w:oddHBand="0" w:evenHBand="0" w:firstRowFirstColumn="0" w:firstRowLastColumn="0" w:lastRowFirstColumn="0" w:lastRowLastColumn="0"/>
            <w:tcW w:w="2066" w:type="pct"/>
            <w:vAlign w:val="center"/>
          </w:tcPr>
          <w:bookmarkEnd w:id="5"/>
          <w:p w14:paraId="435BBC51" w14:textId="77777777" w:rsidR="000405C1" w:rsidRPr="00720A49" w:rsidRDefault="000405C1" w:rsidP="00FF3E25">
            <w:pPr>
              <w:keepNext/>
              <w:jc w:val="center"/>
              <w:rPr>
                <w:rFonts w:ascii="Aptos" w:hAnsi="Aptos" w:cs="Arial"/>
                <w:b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Component</w:t>
            </w:r>
          </w:p>
        </w:tc>
        <w:tc>
          <w:tcPr>
            <w:tcW w:w="733" w:type="pct"/>
            <w:vAlign w:val="center"/>
          </w:tcPr>
          <w:p w14:paraId="583375E3" w14:textId="77777777" w:rsidR="00D45D4E"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bCs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Utility</w:t>
            </w:r>
          </w:p>
          <w:p w14:paraId="0BD8CCDE" w14:textId="55CA676A" w:rsidR="000405C1" w:rsidRPr="00720A49" w:rsidRDefault="00D45D4E"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S</w:t>
            </w:r>
            <w:r w:rsidR="000405C1" w:rsidRPr="00720A49">
              <w:rPr>
                <w:rFonts w:ascii="Aptos" w:hAnsi="Aptos" w:cs="Arial"/>
                <w14:shadow w14:blurRad="50800" w14:dist="38100" w14:dir="2700000" w14:sx="100000" w14:sy="100000" w14:kx="0" w14:ky="0" w14:algn="tl">
                  <w14:srgbClr w14:val="000000">
                    <w14:alpha w14:val="60000"/>
                  </w14:srgbClr>
                </w14:shadow>
              </w:rPr>
              <w:t>cale</w:t>
            </w:r>
          </w:p>
        </w:tc>
        <w:tc>
          <w:tcPr>
            <w:tcW w:w="733" w:type="pct"/>
            <w:vAlign w:val="center"/>
          </w:tcPr>
          <w:p w14:paraId="3E20FDD6" w14:textId="4770D8BA"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bCs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Distributed</w:t>
            </w:r>
          </w:p>
          <w:p w14:paraId="48EAF1DB" w14:textId="01ABFD4C"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Generation</w:t>
            </w:r>
          </w:p>
        </w:tc>
        <w:tc>
          <w:tcPr>
            <w:tcW w:w="733" w:type="pct"/>
            <w:vAlign w:val="center"/>
          </w:tcPr>
          <w:p w14:paraId="25AF9CD3" w14:textId="4F37353B"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bCs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Owned or</w:t>
            </w:r>
          </w:p>
          <w:p w14:paraId="5D2A4027" w14:textId="713D9D2B"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Contracted</w:t>
            </w:r>
          </w:p>
        </w:tc>
        <w:tc>
          <w:tcPr>
            <w:tcW w:w="733" w:type="pct"/>
            <w:vAlign w:val="center"/>
          </w:tcPr>
          <w:p w14:paraId="646831F2" w14:textId="1401F439"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b w:val="0"/>
                <w:bCs w:val="0"/>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Energy</w:t>
            </w:r>
          </w:p>
          <w:p w14:paraId="38EBFFF2" w14:textId="750FCF28" w:rsidR="000405C1" w:rsidRPr="00720A49" w:rsidRDefault="000405C1" w:rsidP="00FF3E25">
            <w:pPr>
              <w:jc w:val="center"/>
              <w:cnfStyle w:val="100000000000" w:firstRow="1" w:lastRow="0" w:firstColumn="0" w:lastColumn="0" w:oddVBand="0" w:evenVBand="0" w:oddHBand="0" w:evenHBand="0" w:firstRowFirstColumn="0" w:firstRowLastColumn="0" w:lastRowFirstColumn="0" w:lastRowLastColumn="0"/>
              <w:rPr>
                <w:rFonts w:ascii="Aptos" w:hAnsi="Aptos" w:cs="Arial"/>
                <w14:shadow w14:blurRad="50800" w14:dist="38100" w14:dir="2700000" w14:sx="100000" w14:sy="100000" w14:kx="0" w14:ky="0" w14:algn="tl">
                  <w14:srgbClr w14:val="000000">
                    <w14:alpha w14:val="60000"/>
                  </w14:srgbClr>
                </w14:shadow>
              </w:rPr>
            </w:pPr>
            <w:r w:rsidRPr="00720A49">
              <w:rPr>
                <w:rFonts w:ascii="Aptos" w:hAnsi="Aptos" w:cs="Arial"/>
                <w14:shadow w14:blurRad="50800" w14:dist="38100" w14:dir="2700000" w14:sx="100000" w14:sy="100000" w14:kx="0" w14:ky="0" w14:algn="tl">
                  <w14:srgbClr w14:val="000000">
                    <w14:alpha w14:val="60000"/>
                  </w14:srgbClr>
                </w14:shadow>
              </w:rPr>
              <w:t>Only</w:t>
            </w:r>
          </w:p>
        </w:tc>
      </w:tr>
      <w:tr w:rsidR="000405C1" w:rsidRPr="00720A49" w14:paraId="672188AB" w14:textId="574F49CA" w:rsidTr="00924B4F">
        <w:trPr>
          <w:cnfStyle w:val="000000100000" w:firstRow="0" w:lastRow="0" w:firstColumn="0" w:lastColumn="0" w:oddVBand="0" w:evenVBand="0" w:oddHBand="1" w:evenHBand="0" w:firstRowFirstColumn="0" w:firstRowLastColumn="0" w:lastRowFirstColumn="0" w:lastRowLastColumn="0"/>
          <w:cantSplit/>
          <w:trHeight w:val="277"/>
          <w:jc w:val="center"/>
        </w:trPr>
        <w:tc>
          <w:tcPr>
            <w:cnfStyle w:val="001000000000" w:firstRow="0" w:lastRow="0" w:firstColumn="1" w:lastColumn="0" w:oddVBand="0" w:evenVBand="0" w:oddHBand="0" w:evenHBand="0" w:firstRowFirstColumn="0" w:firstRowLastColumn="0" w:lastRowFirstColumn="0" w:lastRowLastColumn="0"/>
            <w:tcW w:w="2066" w:type="pct"/>
          </w:tcPr>
          <w:p w14:paraId="48874F8D" w14:textId="1F7FA1D7" w:rsidR="000405C1" w:rsidRPr="00720A49" w:rsidRDefault="000405C1" w:rsidP="000A000D">
            <w:pPr>
              <w:keepNext/>
              <w:rPr>
                <w:rFonts w:ascii="Aptos" w:hAnsi="Aptos" w:cs="Arial"/>
              </w:rPr>
            </w:pPr>
            <w:r w:rsidRPr="00720A49">
              <w:rPr>
                <w:rFonts w:ascii="Aptos" w:hAnsi="Aptos" w:cs="Arial"/>
              </w:rPr>
              <w:t xml:space="preserve">Avoided Energy Costs </w:t>
            </w:r>
          </w:p>
        </w:tc>
        <w:tc>
          <w:tcPr>
            <w:tcW w:w="733" w:type="pct"/>
            <w:vAlign w:val="center"/>
          </w:tcPr>
          <w:p w14:paraId="48EBFC7C" w14:textId="77777777" w:rsidR="000405C1" w:rsidRPr="00720A49" w:rsidRDefault="000405C1" w:rsidP="00FF3E25">
            <w:pPr>
              <w:keepNext/>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117C42F6" w14:textId="77777777" w:rsidR="000405C1" w:rsidRPr="00720A49" w:rsidRDefault="000405C1" w:rsidP="00FF3E25">
            <w:pPr>
              <w:keepNext/>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3CF2CB5B" w14:textId="7CFDFE9E" w:rsidR="000405C1" w:rsidRPr="00720A49" w:rsidRDefault="000405C1" w:rsidP="00FF3E25">
            <w:pPr>
              <w:keepNext/>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Include</w:t>
            </w:r>
          </w:p>
        </w:tc>
        <w:tc>
          <w:tcPr>
            <w:tcW w:w="733" w:type="pct"/>
            <w:vAlign w:val="center"/>
          </w:tcPr>
          <w:p w14:paraId="49702B1D" w14:textId="5BC2F16E" w:rsidR="000405C1" w:rsidRPr="00720A49" w:rsidRDefault="000405C1" w:rsidP="00FF3E25">
            <w:pPr>
              <w:keepNext/>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Include</w:t>
            </w:r>
          </w:p>
        </w:tc>
      </w:tr>
      <w:tr w:rsidR="000405C1" w:rsidRPr="00720A49" w14:paraId="6311B44E" w14:textId="7696E3BC" w:rsidTr="00924B4F">
        <w:trPr>
          <w:cnfStyle w:val="000000010000" w:firstRow="0" w:lastRow="0" w:firstColumn="0" w:lastColumn="0" w:oddVBand="0" w:evenVBand="0" w:oddHBand="0" w:evenHBand="1" w:firstRowFirstColumn="0" w:firstRowLastColumn="0" w:lastRowFirstColumn="0" w:lastRowLastColumn="0"/>
          <w:cantSplit/>
          <w:trHeight w:val="277"/>
          <w:jc w:val="center"/>
        </w:trPr>
        <w:tc>
          <w:tcPr>
            <w:cnfStyle w:val="001000000000" w:firstRow="0" w:lastRow="0" w:firstColumn="1" w:lastColumn="0" w:oddVBand="0" w:evenVBand="0" w:oddHBand="0" w:evenHBand="0" w:firstRowFirstColumn="0" w:firstRowLastColumn="0" w:lastRowFirstColumn="0" w:lastRowLastColumn="0"/>
            <w:tcW w:w="2066" w:type="pct"/>
          </w:tcPr>
          <w:p w14:paraId="6B982023" w14:textId="1E6377B8" w:rsidR="000405C1" w:rsidRPr="00720A49" w:rsidRDefault="000405C1" w:rsidP="000A000D">
            <w:pPr>
              <w:keepNext/>
              <w:rPr>
                <w:rFonts w:ascii="Aptos" w:hAnsi="Aptos" w:cs="Arial"/>
              </w:rPr>
            </w:pPr>
            <w:r w:rsidRPr="00720A49">
              <w:rPr>
                <w:rFonts w:ascii="Aptos" w:hAnsi="Aptos" w:cs="Arial"/>
              </w:rPr>
              <w:t xml:space="preserve">Deferred Generation Capacity Costs </w:t>
            </w:r>
          </w:p>
        </w:tc>
        <w:tc>
          <w:tcPr>
            <w:tcW w:w="733" w:type="pct"/>
            <w:vAlign w:val="center"/>
          </w:tcPr>
          <w:p w14:paraId="500A2FA2" w14:textId="77777777" w:rsidR="000405C1" w:rsidRPr="00720A49" w:rsidRDefault="000405C1" w:rsidP="00FF3E25">
            <w:pPr>
              <w:keepNext/>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6888CC47" w14:textId="46063EDF" w:rsidR="000405C1" w:rsidRPr="00720A49" w:rsidRDefault="000405C1" w:rsidP="00FF3E25">
            <w:pPr>
              <w:keepNext/>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37F5E9C0" w14:textId="6702BAA6" w:rsidR="000405C1" w:rsidRPr="00720A49" w:rsidRDefault="000405C1" w:rsidP="00FF3E25">
            <w:pPr>
              <w:keepNext/>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Include</w:t>
            </w:r>
          </w:p>
        </w:tc>
        <w:tc>
          <w:tcPr>
            <w:tcW w:w="733" w:type="pct"/>
            <w:vAlign w:val="center"/>
          </w:tcPr>
          <w:p w14:paraId="70152CAF" w14:textId="55A5D3DB" w:rsidR="000405C1" w:rsidRPr="00720A49" w:rsidRDefault="000405C1" w:rsidP="00FF3E25">
            <w:pPr>
              <w:keepNext/>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Exclude</w:t>
            </w:r>
          </w:p>
        </w:tc>
      </w:tr>
      <w:tr w:rsidR="000405C1" w:rsidRPr="00720A49" w14:paraId="2841A2D2" w14:textId="1D93488B" w:rsidTr="00924B4F">
        <w:trPr>
          <w:cnfStyle w:val="000000100000" w:firstRow="0" w:lastRow="0" w:firstColumn="0" w:lastColumn="0" w:oddVBand="0" w:evenVBand="0" w:oddHBand="1" w:evenHBand="0" w:firstRowFirstColumn="0" w:firstRowLastColumn="0" w:lastRowFirstColumn="0" w:lastRowLastColumn="0"/>
          <w:cantSplit/>
          <w:trHeight w:val="555"/>
          <w:jc w:val="center"/>
        </w:trPr>
        <w:tc>
          <w:tcPr>
            <w:cnfStyle w:val="001000000000" w:firstRow="0" w:lastRow="0" w:firstColumn="1" w:lastColumn="0" w:oddVBand="0" w:evenVBand="0" w:oddHBand="0" w:evenHBand="0" w:firstRowFirstColumn="0" w:firstRowLastColumn="0" w:lastRowFirstColumn="0" w:lastRowLastColumn="0"/>
            <w:tcW w:w="2066" w:type="pct"/>
          </w:tcPr>
          <w:p w14:paraId="14948EE3" w14:textId="3AD325C6" w:rsidR="000405C1" w:rsidRPr="00720A49" w:rsidRDefault="000405C1" w:rsidP="00C829A9">
            <w:pPr>
              <w:rPr>
                <w:rFonts w:ascii="Aptos" w:hAnsi="Aptos" w:cs="Arial"/>
              </w:rPr>
            </w:pPr>
            <w:r w:rsidRPr="00720A49">
              <w:rPr>
                <w:rFonts w:ascii="Aptos" w:hAnsi="Aptos" w:cs="Arial"/>
              </w:rPr>
              <w:t xml:space="preserve">Avoided Transmission Losses </w:t>
            </w:r>
          </w:p>
        </w:tc>
        <w:tc>
          <w:tcPr>
            <w:tcW w:w="733" w:type="pct"/>
            <w:vAlign w:val="center"/>
          </w:tcPr>
          <w:p w14:paraId="351A0DB4" w14:textId="3665234A"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N</w:t>
            </w:r>
            <w:r w:rsidR="0060628E" w:rsidRPr="00720A49">
              <w:rPr>
                <w:rFonts w:ascii="Aptos" w:hAnsi="Aptos" w:cs="Arial"/>
              </w:rPr>
              <w:t>/</w:t>
            </w:r>
            <w:r w:rsidRPr="00720A49">
              <w:rPr>
                <w:rFonts w:ascii="Aptos" w:hAnsi="Aptos" w:cs="Arial"/>
              </w:rPr>
              <w:t>A</w:t>
            </w:r>
          </w:p>
        </w:tc>
        <w:tc>
          <w:tcPr>
            <w:tcW w:w="733" w:type="pct"/>
            <w:vAlign w:val="center"/>
          </w:tcPr>
          <w:p w14:paraId="2CE35506" w14:textId="713CC5CA"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248D79D1" w14:textId="1CFB0120"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 xml:space="preserve">Include </w:t>
            </w:r>
            <w:r w:rsidR="00BB38F2" w:rsidRPr="00720A49">
              <w:rPr>
                <w:rFonts w:ascii="Aptos" w:hAnsi="Aptos" w:cs="Arial"/>
              </w:rPr>
              <w:t>*</w:t>
            </w:r>
          </w:p>
        </w:tc>
        <w:tc>
          <w:tcPr>
            <w:tcW w:w="733" w:type="pct"/>
            <w:vAlign w:val="center"/>
          </w:tcPr>
          <w:p w14:paraId="6286FA06" w14:textId="2BE30649"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 xml:space="preserve">Include </w:t>
            </w:r>
            <w:r w:rsidR="000E7D49" w:rsidRPr="00720A49">
              <w:rPr>
                <w:rFonts w:ascii="Aptos" w:hAnsi="Aptos" w:cs="Arial"/>
              </w:rPr>
              <w:t>*</w:t>
            </w:r>
          </w:p>
        </w:tc>
      </w:tr>
      <w:tr w:rsidR="000405C1" w:rsidRPr="00720A49" w14:paraId="1B29EF03" w14:textId="4466E356" w:rsidTr="00924B4F">
        <w:trPr>
          <w:cnfStyle w:val="000000010000" w:firstRow="0" w:lastRow="0" w:firstColumn="0" w:lastColumn="0" w:oddVBand="0" w:evenVBand="0" w:oddHBand="0" w:evenHBand="1" w:firstRowFirstColumn="0" w:firstRowLastColumn="0" w:lastRowFirstColumn="0" w:lastRowLastColumn="0"/>
          <w:cantSplit/>
          <w:trHeight w:val="277"/>
          <w:jc w:val="center"/>
        </w:trPr>
        <w:tc>
          <w:tcPr>
            <w:cnfStyle w:val="001000000000" w:firstRow="0" w:lastRow="0" w:firstColumn="1" w:lastColumn="0" w:oddVBand="0" w:evenVBand="0" w:oddHBand="0" w:evenHBand="0" w:firstRowFirstColumn="0" w:firstRowLastColumn="0" w:lastRowFirstColumn="0" w:lastRowLastColumn="0"/>
            <w:tcW w:w="2066" w:type="pct"/>
            <w:vAlign w:val="center"/>
          </w:tcPr>
          <w:p w14:paraId="791016E2" w14:textId="62A71D36" w:rsidR="000405C1" w:rsidRPr="00720A49" w:rsidRDefault="00137F37" w:rsidP="00FF3E25">
            <w:pPr>
              <w:rPr>
                <w:rFonts w:ascii="Aptos" w:hAnsi="Aptos" w:cs="Arial"/>
              </w:rPr>
            </w:pPr>
            <w:r w:rsidRPr="00720A49">
              <w:rPr>
                <w:rFonts w:ascii="Aptos" w:hAnsi="Aptos" w:cs="Arial"/>
              </w:rPr>
              <w:t>Locational</w:t>
            </w:r>
            <w:r w:rsidR="000405C1" w:rsidRPr="00720A49">
              <w:rPr>
                <w:rFonts w:ascii="Aptos" w:hAnsi="Aptos" w:cs="Arial"/>
              </w:rPr>
              <w:t xml:space="preserve"> Transmission </w:t>
            </w:r>
            <w:r w:rsidRPr="00720A49">
              <w:rPr>
                <w:rFonts w:ascii="Aptos" w:hAnsi="Aptos" w:cs="Arial"/>
              </w:rPr>
              <w:t>Value</w:t>
            </w:r>
          </w:p>
        </w:tc>
        <w:tc>
          <w:tcPr>
            <w:tcW w:w="733" w:type="pct"/>
            <w:vAlign w:val="center"/>
          </w:tcPr>
          <w:p w14:paraId="46C04BE5" w14:textId="6107AEEA"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N</w:t>
            </w:r>
            <w:r w:rsidR="0060628E" w:rsidRPr="00720A49">
              <w:rPr>
                <w:rFonts w:ascii="Aptos" w:hAnsi="Aptos" w:cs="Arial"/>
              </w:rPr>
              <w:t>/</w:t>
            </w:r>
            <w:r w:rsidRPr="00720A49">
              <w:rPr>
                <w:rFonts w:ascii="Aptos" w:hAnsi="Aptos" w:cs="Arial"/>
              </w:rPr>
              <w:t>A</w:t>
            </w:r>
          </w:p>
        </w:tc>
        <w:tc>
          <w:tcPr>
            <w:tcW w:w="733" w:type="pct"/>
            <w:vAlign w:val="center"/>
          </w:tcPr>
          <w:p w14:paraId="3724D5C6" w14:textId="143A0C90"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Benefit</w:t>
            </w:r>
            <w:r w:rsidR="00633050" w:rsidRPr="00720A49">
              <w:rPr>
                <w:rFonts w:ascii="Aptos" w:hAnsi="Aptos" w:cs="Arial"/>
              </w:rPr>
              <w:t xml:space="preserve"> or Cost</w:t>
            </w:r>
          </w:p>
        </w:tc>
        <w:tc>
          <w:tcPr>
            <w:tcW w:w="733" w:type="pct"/>
            <w:vAlign w:val="center"/>
          </w:tcPr>
          <w:p w14:paraId="5CD80699" w14:textId="6B0B7D6F"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 xml:space="preserve">Include </w:t>
            </w:r>
            <w:r w:rsidR="000E7D49" w:rsidRPr="00720A49">
              <w:rPr>
                <w:rFonts w:ascii="Aptos" w:hAnsi="Aptos" w:cs="Arial"/>
              </w:rPr>
              <w:t>*</w:t>
            </w:r>
          </w:p>
        </w:tc>
        <w:tc>
          <w:tcPr>
            <w:tcW w:w="733" w:type="pct"/>
            <w:vAlign w:val="center"/>
          </w:tcPr>
          <w:p w14:paraId="6681F8F1" w14:textId="2B3C6971"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Exclude</w:t>
            </w:r>
          </w:p>
        </w:tc>
      </w:tr>
      <w:tr w:rsidR="000405C1" w:rsidRPr="00720A49" w14:paraId="77755128" w14:textId="0CD03A9D" w:rsidTr="00924B4F">
        <w:trPr>
          <w:cnfStyle w:val="000000100000" w:firstRow="0" w:lastRow="0" w:firstColumn="0" w:lastColumn="0" w:oddVBand="0" w:evenVBand="0" w:oddHBand="1" w:evenHBand="0" w:firstRowFirstColumn="0" w:firstRowLastColumn="0" w:lastRowFirstColumn="0" w:lastRowLastColumn="0"/>
          <w:cantSplit/>
          <w:trHeight w:val="555"/>
          <w:jc w:val="center"/>
        </w:trPr>
        <w:tc>
          <w:tcPr>
            <w:cnfStyle w:val="001000000000" w:firstRow="0" w:lastRow="0" w:firstColumn="1" w:lastColumn="0" w:oddVBand="0" w:evenVBand="0" w:oddHBand="0" w:evenHBand="0" w:firstRowFirstColumn="0" w:firstRowLastColumn="0" w:lastRowFirstColumn="0" w:lastRowLastColumn="0"/>
            <w:tcW w:w="2066" w:type="pct"/>
          </w:tcPr>
          <w:p w14:paraId="32C31703" w14:textId="515D02C2" w:rsidR="000405C1" w:rsidRPr="00720A49" w:rsidRDefault="000405C1" w:rsidP="00C829A9">
            <w:pPr>
              <w:rPr>
                <w:rFonts w:ascii="Aptos" w:hAnsi="Aptos" w:cs="Arial"/>
              </w:rPr>
            </w:pPr>
            <w:r w:rsidRPr="00720A49">
              <w:rPr>
                <w:rFonts w:ascii="Aptos" w:hAnsi="Aptos" w:cs="Arial"/>
              </w:rPr>
              <w:t xml:space="preserve">Avoided Distribution Losses </w:t>
            </w:r>
          </w:p>
        </w:tc>
        <w:tc>
          <w:tcPr>
            <w:tcW w:w="733" w:type="pct"/>
            <w:vAlign w:val="center"/>
          </w:tcPr>
          <w:p w14:paraId="75721BC0" w14:textId="77777777"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N/A</w:t>
            </w:r>
          </w:p>
        </w:tc>
        <w:tc>
          <w:tcPr>
            <w:tcW w:w="733" w:type="pct"/>
            <w:vAlign w:val="center"/>
          </w:tcPr>
          <w:p w14:paraId="236BBE6E" w14:textId="7FAE5EC8"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 xml:space="preserve">Benefit </w:t>
            </w:r>
            <w:r w:rsidR="000E7D49" w:rsidRPr="00720A49">
              <w:rPr>
                <w:rFonts w:ascii="Aptos" w:hAnsi="Aptos" w:cs="Arial"/>
              </w:rPr>
              <w:t>**</w:t>
            </w:r>
          </w:p>
        </w:tc>
        <w:tc>
          <w:tcPr>
            <w:tcW w:w="733" w:type="pct"/>
            <w:vAlign w:val="center"/>
          </w:tcPr>
          <w:p w14:paraId="517A203D" w14:textId="75578434"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 xml:space="preserve">Include </w:t>
            </w:r>
            <w:r w:rsidR="000E7D49" w:rsidRPr="00720A49">
              <w:rPr>
                <w:rFonts w:ascii="Aptos" w:hAnsi="Aptos" w:cs="Arial"/>
              </w:rPr>
              <w:t>*</w:t>
            </w:r>
          </w:p>
        </w:tc>
        <w:tc>
          <w:tcPr>
            <w:tcW w:w="733" w:type="pct"/>
            <w:vAlign w:val="center"/>
          </w:tcPr>
          <w:p w14:paraId="5533AA36" w14:textId="3D5900C9" w:rsidR="000405C1" w:rsidRPr="00720A49" w:rsidRDefault="000405C1"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 xml:space="preserve">Include </w:t>
            </w:r>
            <w:r w:rsidR="000E7D49" w:rsidRPr="00720A49">
              <w:rPr>
                <w:rFonts w:ascii="Aptos" w:hAnsi="Aptos" w:cs="Arial"/>
              </w:rPr>
              <w:t>*</w:t>
            </w:r>
          </w:p>
        </w:tc>
      </w:tr>
      <w:tr w:rsidR="000405C1" w:rsidRPr="00720A49" w14:paraId="76B30D37" w14:textId="2A8E4C7C" w:rsidTr="00924B4F">
        <w:trPr>
          <w:cnfStyle w:val="000000010000" w:firstRow="0" w:lastRow="0" w:firstColumn="0" w:lastColumn="0" w:oddVBand="0" w:evenVBand="0" w:oddHBand="0" w:evenHBand="1" w:firstRowFirstColumn="0" w:firstRowLastColumn="0" w:lastRowFirstColumn="0" w:lastRowLastColumn="0"/>
          <w:cantSplit/>
          <w:trHeight w:val="277"/>
          <w:jc w:val="center"/>
        </w:trPr>
        <w:tc>
          <w:tcPr>
            <w:cnfStyle w:val="001000000000" w:firstRow="0" w:lastRow="0" w:firstColumn="1" w:lastColumn="0" w:oddVBand="0" w:evenVBand="0" w:oddHBand="0" w:evenHBand="0" w:firstRowFirstColumn="0" w:firstRowLastColumn="0" w:lastRowFirstColumn="0" w:lastRowLastColumn="0"/>
            <w:tcW w:w="2066" w:type="pct"/>
          </w:tcPr>
          <w:p w14:paraId="6AB76B82" w14:textId="0B8F4296" w:rsidR="000405C1" w:rsidRPr="00720A49" w:rsidRDefault="000405C1" w:rsidP="00C829A9">
            <w:pPr>
              <w:rPr>
                <w:rFonts w:ascii="Aptos" w:hAnsi="Aptos" w:cs="Arial"/>
              </w:rPr>
            </w:pPr>
            <w:bookmarkStart w:id="6" w:name="_Hlk80638213"/>
            <w:r w:rsidRPr="00720A49">
              <w:rPr>
                <w:rFonts w:ascii="Aptos" w:hAnsi="Aptos" w:cs="Arial"/>
              </w:rPr>
              <w:t xml:space="preserve">Integration Costs </w:t>
            </w:r>
          </w:p>
        </w:tc>
        <w:tc>
          <w:tcPr>
            <w:tcW w:w="733" w:type="pct"/>
            <w:vAlign w:val="center"/>
          </w:tcPr>
          <w:p w14:paraId="4CD2B1D0" w14:textId="5BB093E7"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Cost</w:t>
            </w:r>
          </w:p>
        </w:tc>
        <w:tc>
          <w:tcPr>
            <w:tcW w:w="733" w:type="pct"/>
            <w:vAlign w:val="center"/>
          </w:tcPr>
          <w:p w14:paraId="78DDF954" w14:textId="6EB211D3"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Cost</w:t>
            </w:r>
          </w:p>
        </w:tc>
        <w:tc>
          <w:tcPr>
            <w:tcW w:w="733" w:type="pct"/>
            <w:vAlign w:val="center"/>
          </w:tcPr>
          <w:p w14:paraId="273662A7" w14:textId="7A8BC488"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Include</w:t>
            </w:r>
          </w:p>
        </w:tc>
        <w:tc>
          <w:tcPr>
            <w:tcW w:w="733" w:type="pct"/>
            <w:vAlign w:val="center"/>
          </w:tcPr>
          <w:p w14:paraId="6C736DEB" w14:textId="5F2B6C7D" w:rsidR="000405C1" w:rsidRPr="00720A49" w:rsidRDefault="000405C1" w:rsidP="00FF3E25">
            <w:pPr>
              <w:jc w:val="center"/>
              <w:cnfStyle w:val="000000010000" w:firstRow="0" w:lastRow="0" w:firstColumn="0" w:lastColumn="0" w:oddVBand="0" w:evenVBand="0" w:oddHBand="0" w:evenHBand="1" w:firstRowFirstColumn="0" w:firstRowLastColumn="0" w:lastRowFirstColumn="0" w:lastRowLastColumn="0"/>
              <w:rPr>
                <w:rFonts w:ascii="Aptos" w:hAnsi="Aptos" w:cs="Arial"/>
              </w:rPr>
            </w:pPr>
            <w:r w:rsidRPr="00720A49">
              <w:rPr>
                <w:rFonts w:ascii="Aptos" w:hAnsi="Aptos" w:cs="Arial"/>
              </w:rPr>
              <w:t>Include</w:t>
            </w:r>
          </w:p>
        </w:tc>
      </w:tr>
      <w:tr w:rsidR="00D45D4E" w:rsidRPr="00720A49" w14:paraId="5B8DE57A" w14:textId="77777777" w:rsidTr="00924B4F">
        <w:trPr>
          <w:cnfStyle w:val="000000100000" w:firstRow="0" w:lastRow="0" w:firstColumn="0" w:lastColumn="0" w:oddVBand="0" w:evenVBand="0" w:oddHBand="1" w:evenHBand="0" w:firstRowFirstColumn="0" w:firstRowLastColumn="0" w:lastRowFirstColumn="0" w:lastRowLastColumn="0"/>
          <w:cantSplit/>
          <w:trHeight w:val="277"/>
          <w:jc w:val="center"/>
        </w:trPr>
        <w:tc>
          <w:tcPr>
            <w:cnfStyle w:val="001000000000" w:firstRow="0" w:lastRow="0" w:firstColumn="1" w:lastColumn="0" w:oddVBand="0" w:evenVBand="0" w:oddHBand="0" w:evenHBand="0" w:firstRowFirstColumn="0" w:firstRowLastColumn="0" w:lastRowFirstColumn="0" w:lastRowLastColumn="0"/>
            <w:tcW w:w="2066" w:type="pct"/>
          </w:tcPr>
          <w:p w14:paraId="35AAB25A" w14:textId="79E9CBE0" w:rsidR="00D45D4E" w:rsidRPr="00720A49" w:rsidRDefault="00D45D4E" w:rsidP="00C829A9">
            <w:pPr>
              <w:rPr>
                <w:rFonts w:ascii="Aptos" w:hAnsi="Aptos" w:cs="Arial"/>
              </w:rPr>
            </w:pPr>
            <w:r w:rsidRPr="00720A49">
              <w:rPr>
                <w:rFonts w:ascii="Aptos" w:hAnsi="Aptos" w:cs="Arial"/>
              </w:rPr>
              <w:t>Renewable Energy C</w:t>
            </w:r>
            <w:r w:rsidR="0033194D" w:rsidRPr="00720A49">
              <w:rPr>
                <w:rFonts w:ascii="Aptos" w:hAnsi="Aptos" w:cs="Arial"/>
              </w:rPr>
              <w:t>ertificate</w:t>
            </w:r>
            <w:r w:rsidR="00FB3BD7" w:rsidRPr="00720A49">
              <w:rPr>
                <w:rFonts w:ascii="Aptos" w:hAnsi="Aptos" w:cs="Arial"/>
              </w:rPr>
              <w:t>s</w:t>
            </w:r>
          </w:p>
        </w:tc>
        <w:tc>
          <w:tcPr>
            <w:tcW w:w="733" w:type="pct"/>
            <w:vAlign w:val="center"/>
          </w:tcPr>
          <w:p w14:paraId="7088F837" w14:textId="637940E0" w:rsidR="00D45D4E" w:rsidRPr="00720A49" w:rsidRDefault="00D45D4E"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51A747CC" w14:textId="5727CFBF" w:rsidR="00D45D4E" w:rsidRPr="00720A49" w:rsidRDefault="00D45D4E"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Benefit</w:t>
            </w:r>
          </w:p>
        </w:tc>
        <w:tc>
          <w:tcPr>
            <w:tcW w:w="733" w:type="pct"/>
            <w:vAlign w:val="center"/>
          </w:tcPr>
          <w:p w14:paraId="197A33A7" w14:textId="5856F6E8" w:rsidR="00D45D4E" w:rsidRPr="00720A49" w:rsidRDefault="00D45D4E"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Include</w:t>
            </w:r>
          </w:p>
        </w:tc>
        <w:tc>
          <w:tcPr>
            <w:tcW w:w="733" w:type="pct"/>
            <w:vAlign w:val="center"/>
          </w:tcPr>
          <w:p w14:paraId="001C5FA5" w14:textId="1C7BDD34" w:rsidR="00D45D4E" w:rsidRPr="00720A49" w:rsidRDefault="00D45D4E" w:rsidP="00FF3E25">
            <w:pPr>
              <w:jc w:val="center"/>
              <w:cnfStyle w:val="000000100000" w:firstRow="0" w:lastRow="0" w:firstColumn="0" w:lastColumn="0" w:oddVBand="0" w:evenVBand="0" w:oddHBand="1" w:evenHBand="0" w:firstRowFirstColumn="0" w:firstRowLastColumn="0" w:lastRowFirstColumn="0" w:lastRowLastColumn="0"/>
              <w:rPr>
                <w:rFonts w:ascii="Aptos" w:hAnsi="Aptos" w:cs="Arial"/>
              </w:rPr>
            </w:pPr>
            <w:r w:rsidRPr="00720A49">
              <w:rPr>
                <w:rFonts w:ascii="Aptos" w:hAnsi="Aptos" w:cs="Arial"/>
              </w:rPr>
              <w:t>Exclude</w:t>
            </w:r>
          </w:p>
        </w:tc>
      </w:tr>
    </w:tbl>
    <w:bookmarkEnd w:id="6"/>
    <w:p w14:paraId="64C61FAA" w14:textId="77777777" w:rsidR="005E68F6" w:rsidRPr="00720A49" w:rsidRDefault="00BB38F2" w:rsidP="0095247C">
      <w:pPr>
        <w:contextualSpacing/>
        <w:rPr>
          <w:rFonts w:ascii="Aptos" w:hAnsi="Aptos" w:cs="Arial"/>
          <w:sz w:val="16"/>
          <w:szCs w:val="16"/>
        </w:rPr>
      </w:pPr>
      <w:r w:rsidRPr="00720A49">
        <w:rPr>
          <w:rFonts w:ascii="Aptos" w:hAnsi="Aptos" w:cs="Arial"/>
          <w:sz w:val="16"/>
          <w:szCs w:val="16"/>
        </w:rPr>
        <w:t>*</w:t>
      </w:r>
      <w:r w:rsidR="005E68F6" w:rsidRPr="00720A49">
        <w:rPr>
          <w:rFonts w:ascii="Aptos" w:hAnsi="Aptos" w:cs="Arial"/>
          <w:sz w:val="16"/>
          <w:szCs w:val="16"/>
        </w:rPr>
        <w:t xml:space="preserve"> </w:t>
      </w:r>
      <w:r w:rsidRPr="00720A49">
        <w:rPr>
          <w:rFonts w:ascii="Aptos" w:hAnsi="Aptos" w:cs="Arial"/>
          <w:sz w:val="16"/>
          <w:szCs w:val="16"/>
        </w:rPr>
        <w:t>Inclusion is d</w:t>
      </w:r>
      <w:r w:rsidR="0003394F" w:rsidRPr="00720A49">
        <w:rPr>
          <w:rFonts w:ascii="Aptos" w:hAnsi="Aptos" w:cs="Arial"/>
          <w:sz w:val="16"/>
          <w:szCs w:val="16"/>
        </w:rPr>
        <w:t xml:space="preserve">etermined </w:t>
      </w:r>
      <w:r w:rsidR="00C67307" w:rsidRPr="00720A49">
        <w:rPr>
          <w:rFonts w:ascii="Aptos" w:hAnsi="Aptos" w:cs="Arial"/>
          <w:sz w:val="16"/>
          <w:szCs w:val="16"/>
        </w:rPr>
        <w:t xml:space="preserve">by </w:t>
      </w:r>
      <w:r w:rsidR="005E68F6" w:rsidRPr="00720A49">
        <w:rPr>
          <w:rFonts w:ascii="Aptos" w:hAnsi="Aptos" w:cs="Arial"/>
          <w:sz w:val="16"/>
          <w:szCs w:val="16"/>
        </w:rPr>
        <w:t xml:space="preserve">interconnection location on the </w:t>
      </w:r>
      <w:r w:rsidR="00C67307" w:rsidRPr="00720A49">
        <w:rPr>
          <w:rFonts w:ascii="Aptos" w:hAnsi="Aptos" w:cs="Arial"/>
          <w:sz w:val="16"/>
          <w:szCs w:val="16"/>
        </w:rPr>
        <w:t>distribution system</w:t>
      </w:r>
      <w:r w:rsidR="0003394F" w:rsidRPr="00720A49">
        <w:rPr>
          <w:rFonts w:ascii="Aptos" w:hAnsi="Aptos" w:cs="Arial"/>
          <w:sz w:val="16"/>
          <w:szCs w:val="16"/>
        </w:rPr>
        <w:t>.</w:t>
      </w:r>
    </w:p>
    <w:p w14:paraId="0C513FF1" w14:textId="73679BE1" w:rsidR="0003394F" w:rsidRPr="00720A49" w:rsidRDefault="005E68F6" w:rsidP="0095247C">
      <w:pPr>
        <w:rPr>
          <w:rFonts w:ascii="Aptos" w:hAnsi="Aptos" w:cs="Arial"/>
          <w:sz w:val="16"/>
          <w:szCs w:val="16"/>
        </w:rPr>
      </w:pPr>
      <w:r w:rsidRPr="00720A49">
        <w:rPr>
          <w:rFonts w:ascii="Aptos" w:hAnsi="Aptos" w:cs="Arial"/>
          <w:sz w:val="16"/>
          <w:szCs w:val="16"/>
        </w:rPr>
        <w:t>** The avoided distribution loss benefit is determined by the interconnection location on the distribution system</w:t>
      </w:r>
      <w:r w:rsidR="00F14433" w:rsidRPr="00720A49">
        <w:rPr>
          <w:rFonts w:ascii="Aptos" w:hAnsi="Aptos" w:cs="Arial"/>
          <w:sz w:val="16"/>
          <w:szCs w:val="16"/>
        </w:rPr>
        <w:t xml:space="preserve">  </w:t>
      </w:r>
    </w:p>
    <w:p w14:paraId="0B3C4DC0" w14:textId="77777777" w:rsidR="00C63BDA" w:rsidRPr="00720A49" w:rsidRDefault="00C63BDA" w:rsidP="00D74D53">
      <w:pPr>
        <w:rPr>
          <w:rFonts w:ascii="Aptos" w:hAnsi="Aptos" w:cs="Arial"/>
        </w:rPr>
      </w:pPr>
    </w:p>
    <w:p w14:paraId="2D06BDEC" w14:textId="4E1B8DA3" w:rsidR="0003394F" w:rsidRPr="00720A49" w:rsidRDefault="0003394F" w:rsidP="00C63BDA">
      <w:pPr>
        <w:pStyle w:val="Heading1"/>
        <w:jc w:val="left"/>
        <w:rPr>
          <w:rFonts w:ascii="Aptos" w:hAnsi="Aptos"/>
        </w:rPr>
      </w:pPr>
      <w:bookmarkStart w:id="7" w:name="_Toc86054556"/>
      <w:bookmarkStart w:id="8" w:name="_Toc163569783"/>
      <w:bookmarkStart w:id="9" w:name="_Hlk83715607"/>
      <w:r w:rsidRPr="00720A49">
        <w:rPr>
          <w:rFonts w:ascii="Aptos" w:hAnsi="Aptos"/>
        </w:rPr>
        <w:t>BACKGROUND AND PURPOSE</w:t>
      </w:r>
      <w:bookmarkEnd w:id="7"/>
      <w:bookmarkEnd w:id="8"/>
    </w:p>
    <w:bookmarkEnd w:id="9"/>
    <w:p w14:paraId="2DF98B0F" w14:textId="3936E04A" w:rsidR="00B32833" w:rsidRPr="00720A49" w:rsidRDefault="00B32833" w:rsidP="00FF3E25">
      <w:pPr>
        <w:jc w:val="both"/>
        <w:rPr>
          <w:rFonts w:ascii="Aptos" w:hAnsi="Aptos" w:cs="Arial"/>
        </w:rPr>
      </w:pPr>
      <w:r w:rsidRPr="00720A49">
        <w:rPr>
          <w:rFonts w:ascii="Aptos" w:hAnsi="Aptos" w:cs="Arial"/>
        </w:rPr>
        <w:t xml:space="preserve">Renewable energy is </w:t>
      </w:r>
      <w:r w:rsidR="00E8268A" w:rsidRPr="00720A49">
        <w:rPr>
          <w:rFonts w:ascii="Aptos" w:hAnsi="Aptos" w:cs="Arial"/>
        </w:rPr>
        <w:t xml:space="preserve">a </w:t>
      </w:r>
      <w:r w:rsidRPr="00720A49">
        <w:rPr>
          <w:rFonts w:ascii="Aptos" w:hAnsi="Aptos" w:cs="Arial"/>
        </w:rPr>
        <w:t>fast</w:t>
      </w:r>
      <w:r w:rsidR="006B3F36" w:rsidRPr="00720A49">
        <w:rPr>
          <w:rFonts w:ascii="Aptos" w:hAnsi="Aptos" w:cs="Arial"/>
        </w:rPr>
        <w:t>-</w:t>
      </w:r>
      <w:r w:rsidRPr="00720A49">
        <w:rPr>
          <w:rFonts w:ascii="Aptos" w:hAnsi="Aptos" w:cs="Arial"/>
        </w:rPr>
        <w:t xml:space="preserve">growing segment of </w:t>
      </w:r>
      <w:r w:rsidR="0095247C" w:rsidRPr="00720A49">
        <w:rPr>
          <w:rFonts w:ascii="Aptos" w:hAnsi="Aptos" w:cs="Arial"/>
        </w:rPr>
        <w:t>electricity generation</w:t>
      </w:r>
      <w:r w:rsidRPr="00720A49">
        <w:rPr>
          <w:rFonts w:ascii="Aptos" w:hAnsi="Aptos" w:cs="Arial"/>
        </w:rPr>
        <w:t xml:space="preserve"> in the United States. Southern Company is committed to the cost-effective addition of renewable resources to benefit customers</w:t>
      </w:r>
      <w:r w:rsidR="00B870F1" w:rsidRPr="00720A49">
        <w:rPr>
          <w:rFonts w:ascii="Aptos" w:hAnsi="Aptos" w:cs="Arial"/>
        </w:rPr>
        <w:t>.</w:t>
      </w:r>
      <w:r w:rsidRPr="00720A49">
        <w:rPr>
          <w:rFonts w:ascii="Aptos" w:hAnsi="Aptos" w:cs="Arial"/>
        </w:rPr>
        <w:t xml:space="preserve">  This commitment requires a comprehensive understanding of the costs and benefits of renewable resources, both those common to other generation technologies and those unique to renewable resources. This understanding is essential for the </w:t>
      </w:r>
      <w:r w:rsidR="00BB38F2" w:rsidRPr="00720A49">
        <w:rPr>
          <w:rFonts w:ascii="Aptos" w:hAnsi="Aptos" w:cs="Arial"/>
        </w:rPr>
        <w:t>C</w:t>
      </w:r>
      <w:r w:rsidR="00F72829" w:rsidRPr="00720A49">
        <w:rPr>
          <w:rFonts w:ascii="Aptos" w:hAnsi="Aptos" w:cs="Arial"/>
        </w:rPr>
        <w:t xml:space="preserve">ompany’s </w:t>
      </w:r>
      <w:r w:rsidRPr="00720A49">
        <w:rPr>
          <w:rFonts w:ascii="Aptos" w:hAnsi="Aptos" w:cs="Arial"/>
        </w:rPr>
        <w:t xml:space="preserve">Integrated Resource Planning process, resource procurement activities, and reliable fleet operation. </w:t>
      </w:r>
    </w:p>
    <w:p w14:paraId="0225CF38" w14:textId="08F47BD6" w:rsidR="000A5023" w:rsidRPr="00720A49" w:rsidRDefault="00F72829" w:rsidP="00FF3E25">
      <w:pPr>
        <w:jc w:val="both"/>
        <w:rPr>
          <w:rFonts w:ascii="Aptos" w:hAnsi="Aptos" w:cs="Arial"/>
        </w:rPr>
      </w:pPr>
      <w:r w:rsidRPr="00720A49">
        <w:rPr>
          <w:rFonts w:ascii="Aptos" w:hAnsi="Aptos" w:cs="Arial"/>
        </w:rPr>
        <w:t xml:space="preserve">Southern </w:t>
      </w:r>
      <w:r w:rsidR="000A5023" w:rsidRPr="00720A49">
        <w:rPr>
          <w:rFonts w:ascii="Aptos" w:hAnsi="Aptos" w:cs="Arial"/>
        </w:rPr>
        <w:t xml:space="preserve">Company has developed and updated this </w:t>
      </w:r>
      <w:r w:rsidR="002374DB" w:rsidRPr="00720A49">
        <w:rPr>
          <w:rFonts w:ascii="Aptos" w:hAnsi="Aptos" w:cs="Arial"/>
        </w:rPr>
        <w:t xml:space="preserve">RCB </w:t>
      </w:r>
      <w:r w:rsidR="000A5023" w:rsidRPr="00720A49">
        <w:rPr>
          <w:rFonts w:ascii="Aptos" w:hAnsi="Aptos" w:cs="Arial"/>
        </w:rPr>
        <w:t xml:space="preserve">Framework for </w:t>
      </w:r>
      <w:r w:rsidR="00983451" w:rsidRPr="00720A49">
        <w:rPr>
          <w:rFonts w:ascii="Aptos" w:hAnsi="Aptos" w:cs="Arial"/>
        </w:rPr>
        <w:t>d</w:t>
      </w:r>
      <w:r w:rsidR="000A5023" w:rsidRPr="00720A49">
        <w:rPr>
          <w:rFonts w:ascii="Aptos" w:hAnsi="Aptos" w:cs="Arial"/>
        </w:rPr>
        <w:t xml:space="preserve">etermining the </w:t>
      </w:r>
      <w:r w:rsidR="00FF5F9A" w:rsidRPr="00720A49">
        <w:rPr>
          <w:rFonts w:ascii="Aptos" w:hAnsi="Aptos" w:cs="Arial"/>
        </w:rPr>
        <w:t xml:space="preserve">appropriate </w:t>
      </w:r>
      <w:r w:rsidR="00983451" w:rsidRPr="00720A49">
        <w:rPr>
          <w:rFonts w:ascii="Aptos" w:hAnsi="Aptos" w:cs="Arial"/>
        </w:rPr>
        <w:t>c</w:t>
      </w:r>
      <w:r w:rsidR="000A5023" w:rsidRPr="00720A49">
        <w:rPr>
          <w:rFonts w:ascii="Aptos" w:hAnsi="Aptos" w:cs="Arial"/>
        </w:rPr>
        <w:t xml:space="preserve">osts and </w:t>
      </w:r>
      <w:r w:rsidR="00983451" w:rsidRPr="00720A49">
        <w:rPr>
          <w:rFonts w:ascii="Aptos" w:hAnsi="Aptos" w:cs="Arial"/>
        </w:rPr>
        <w:t>b</w:t>
      </w:r>
      <w:r w:rsidR="000A5023" w:rsidRPr="00720A49">
        <w:rPr>
          <w:rFonts w:ascii="Aptos" w:hAnsi="Aptos" w:cs="Arial"/>
        </w:rPr>
        <w:t xml:space="preserve">enefits of </w:t>
      </w:r>
      <w:r w:rsidR="00983451" w:rsidRPr="00720A49">
        <w:rPr>
          <w:rFonts w:ascii="Aptos" w:hAnsi="Aptos" w:cs="Arial"/>
        </w:rPr>
        <w:t>r</w:t>
      </w:r>
      <w:r w:rsidR="000A5023" w:rsidRPr="00720A49">
        <w:rPr>
          <w:rFonts w:ascii="Aptos" w:hAnsi="Aptos" w:cs="Arial"/>
        </w:rPr>
        <w:t xml:space="preserve">enewable </w:t>
      </w:r>
      <w:r w:rsidR="00983451" w:rsidRPr="00720A49">
        <w:rPr>
          <w:rFonts w:ascii="Aptos" w:hAnsi="Aptos" w:cs="Arial"/>
        </w:rPr>
        <w:t>r</w:t>
      </w:r>
      <w:r w:rsidR="000A5023" w:rsidRPr="00720A49">
        <w:rPr>
          <w:rFonts w:ascii="Aptos" w:hAnsi="Aptos" w:cs="Arial"/>
        </w:rPr>
        <w:t xml:space="preserve">esources. The RCB Framework establishes the methods by which the Company will determine the impact </w:t>
      </w:r>
      <w:r w:rsidR="0051721D" w:rsidRPr="00720A49">
        <w:rPr>
          <w:rFonts w:ascii="Aptos" w:hAnsi="Aptos" w:cs="Arial"/>
        </w:rPr>
        <w:t xml:space="preserve">of </w:t>
      </w:r>
      <w:r w:rsidR="000A5023" w:rsidRPr="00720A49">
        <w:rPr>
          <w:rFonts w:ascii="Aptos" w:hAnsi="Aptos" w:cs="Arial"/>
        </w:rPr>
        <w:t xml:space="preserve">renewable resources </w:t>
      </w:r>
      <w:r w:rsidR="0052670D" w:rsidRPr="00720A49">
        <w:rPr>
          <w:rFonts w:ascii="Aptos" w:hAnsi="Aptos" w:cs="Arial"/>
        </w:rPr>
        <w:t xml:space="preserve">on </w:t>
      </w:r>
      <w:r w:rsidR="000A5023" w:rsidRPr="00720A49">
        <w:rPr>
          <w:rFonts w:ascii="Aptos" w:hAnsi="Aptos" w:cs="Arial"/>
        </w:rPr>
        <w:t xml:space="preserve">the economics and reliability of the generation fleet. </w:t>
      </w:r>
      <w:r w:rsidR="0051721D" w:rsidRPr="00720A49">
        <w:rPr>
          <w:rFonts w:ascii="Aptos" w:hAnsi="Aptos" w:cs="Arial"/>
        </w:rPr>
        <w:t>The</w:t>
      </w:r>
      <w:r w:rsidR="000A5023" w:rsidRPr="00720A49">
        <w:rPr>
          <w:rFonts w:ascii="Aptos" w:hAnsi="Aptos" w:cs="Arial"/>
        </w:rPr>
        <w:t xml:space="preserve"> operating characteristics</w:t>
      </w:r>
      <w:r w:rsidR="00A526D6" w:rsidRPr="00720A49">
        <w:rPr>
          <w:rFonts w:ascii="Aptos" w:hAnsi="Aptos" w:cs="Arial"/>
        </w:rPr>
        <w:t>,</w:t>
      </w:r>
      <w:r w:rsidR="000A5023" w:rsidRPr="00720A49">
        <w:rPr>
          <w:rFonts w:ascii="Aptos" w:hAnsi="Aptos" w:cs="Arial"/>
        </w:rPr>
        <w:t xml:space="preserve"> includ</w:t>
      </w:r>
      <w:r w:rsidR="00A526D6" w:rsidRPr="00720A49">
        <w:rPr>
          <w:rFonts w:ascii="Aptos" w:hAnsi="Aptos" w:cs="Arial"/>
        </w:rPr>
        <w:t>ing</w:t>
      </w:r>
      <w:r w:rsidR="000A5023" w:rsidRPr="00720A49">
        <w:rPr>
          <w:rFonts w:ascii="Aptos" w:hAnsi="Aptos" w:cs="Arial"/>
        </w:rPr>
        <w:t xml:space="preserve"> limited dispatchability, generation uncertainty, and generation volatility</w:t>
      </w:r>
      <w:r w:rsidR="00A526D6" w:rsidRPr="00720A49">
        <w:rPr>
          <w:rFonts w:ascii="Aptos" w:hAnsi="Aptos" w:cs="Arial"/>
        </w:rPr>
        <w:t>,</w:t>
      </w:r>
      <w:r w:rsidR="000A5023" w:rsidRPr="00720A49">
        <w:rPr>
          <w:rFonts w:ascii="Aptos" w:hAnsi="Aptos" w:cs="Arial"/>
        </w:rPr>
        <w:t xml:space="preserve"> are addressed.</w:t>
      </w:r>
    </w:p>
    <w:p w14:paraId="2A193956" w14:textId="4C704859" w:rsidR="00497F54" w:rsidRPr="00720A49" w:rsidRDefault="00497F54" w:rsidP="00FF3E25">
      <w:pPr>
        <w:jc w:val="both"/>
        <w:rPr>
          <w:rFonts w:ascii="Aptos" w:hAnsi="Aptos" w:cs="Arial"/>
        </w:rPr>
      </w:pPr>
      <w:r w:rsidRPr="00720A49">
        <w:rPr>
          <w:rFonts w:ascii="Aptos" w:hAnsi="Aptos" w:cs="Arial"/>
        </w:rPr>
        <w:lastRenderedPageBreak/>
        <w:t>The RCB Framework provide</w:t>
      </w:r>
      <w:r w:rsidR="0051721D" w:rsidRPr="00720A49">
        <w:rPr>
          <w:rFonts w:ascii="Aptos" w:hAnsi="Aptos" w:cs="Arial"/>
        </w:rPr>
        <w:t>s</w:t>
      </w:r>
      <w:r w:rsidRPr="00720A49">
        <w:rPr>
          <w:rFonts w:ascii="Aptos" w:hAnsi="Aptos" w:cs="Arial"/>
        </w:rPr>
        <w:t xml:space="preserve"> the </w:t>
      </w:r>
      <w:r w:rsidR="00983451" w:rsidRPr="00720A49">
        <w:rPr>
          <w:rFonts w:ascii="Aptos" w:hAnsi="Aptos" w:cs="Arial"/>
        </w:rPr>
        <w:t>C</w:t>
      </w:r>
      <w:r w:rsidR="0051721D" w:rsidRPr="00720A49">
        <w:rPr>
          <w:rFonts w:ascii="Aptos" w:hAnsi="Aptos" w:cs="Arial"/>
        </w:rPr>
        <w:t xml:space="preserve">ompany, regulators, and stakeholders </w:t>
      </w:r>
      <w:r w:rsidRPr="00720A49">
        <w:rPr>
          <w:rFonts w:ascii="Aptos" w:hAnsi="Aptos" w:cs="Arial"/>
        </w:rPr>
        <w:t xml:space="preserve">a consistent understanding of how renewable resources will be implemented </w:t>
      </w:r>
      <w:r w:rsidR="005E68F6" w:rsidRPr="00720A49">
        <w:rPr>
          <w:rFonts w:ascii="Aptos" w:hAnsi="Aptos" w:cs="Arial"/>
        </w:rPr>
        <w:t xml:space="preserve">and/or compensated </w:t>
      </w:r>
      <w:r w:rsidRPr="00720A49">
        <w:rPr>
          <w:rFonts w:ascii="Aptos" w:hAnsi="Aptos" w:cs="Arial"/>
        </w:rPr>
        <w:t>in the Company’s planning</w:t>
      </w:r>
      <w:r w:rsidR="00D45D4E" w:rsidRPr="00720A49">
        <w:rPr>
          <w:rFonts w:ascii="Aptos" w:hAnsi="Aptos" w:cs="Arial"/>
        </w:rPr>
        <w:t xml:space="preserve">, </w:t>
      </w:r>
      <w:r w:rsidRPr="00720A49">
        <w:rPr>
          <w:rFonts w:ascii="Aptos" w:hAnsi="Aptos" w:cs="Arial"/>
        </w:rPr>
        <w:t>procurement</w:t>
      </w:r>
      <w:r w:rsidR="00D45D4E" w:rsidRPr="00720A49">
        <w:rPr>
          <w:rFonts w:ascii="Aptos" w:hAnsi="Aptos" w:cs="Arial"/>
        </w:rPr>
        <w:t>, and payment</w:t>
      </w:r>
      <w:r w:rsidRPr="00720A49">
        <w:rPr>
          <w:rFonts w:ascii="Aptos" w:hAnsi="Aptos" w:cs="Arial"/>
        </w:rPr>
        <w:t xml:space="preserve"> activities. The RCB Framework is intended to address</w:t>
      </w:r>
      <w:r w:rsidR="0051721D" w:rsidRPr="00720A49">
        <w:rPr>
          <w:rFonts w:ascii="Aptos" w:hAnsi="Aptos" w:cs="Arial"/>
        </w:rPr>
        <w:t xml:space="preserve"> common utility planning</w:t>
      </w:r>
      <w:r w:rsidRPr="00720A49">
        <w:rPr>
          <w:rFonts w:ascii="Aptos" w:hAnsi="Aptos" w:cs="Arial"/>
        </w:rPr>
        <w:t xml:space="preserve"> items based on established and emerging industry practice. The RCB Framework is not intended to address every element that </w:t>
      </w:r>
      <w:r w:rsidR="0051721D" w:rsidRPr="00720A49">
        <w:rPr>
          <w:rFonts w:ascii="Aptos" w:hAnsi="Aptos" w:cs="Arial"/>
        </w:rPr>
        <w:t>could affect</w:t>
      </w:r>
      <w:r w:rsidRPr="00720A49">
        <w:rPr>
          <w:rFonts w:ascii="Aptos" w:hAnsi="Aptos" w:cs="Arial"/>
        </w:rPr>
        <w:t xml:space="preserve"> </w:t>
      </w:r>
      <w:r w:rsidR="0051721D" w:rsidRPr="00720A49">
        <w:rPr>
          <w:rFonts w:ascii="Aptos" w:hAnsi="Aptos" w:cs="Arial"/>
        </w:rPr>
        <w:t xml:space="preserve">utility </w:t>
      </w:r>
      <w:r w:rsidRPr="00720A49">
        <w:rPr>
          <w:rFonts w:ascii="Aptos" w:hAnsi="Aptos" w:cs="Arial"/>
        </w:rPr>
        <w:t>resource decisions</w:t>
      </w:r>
      <w:r w:rsidR="0051721D" w:rsidRPr="00720A49">
        <w:rPr>
          <w:rFonts w:ascii="Aptos" w:hAnsi="Aptos" w:cs="Arial"/>
        </w:rPr>
        <w:t>;</w:t>
      </w:r>
      <w:r w:rsidRPr="00720A49">
        <w:rPr>
          <w:rFonts w:ascii="Aptos" w:hAnsi="Aptos" w:cs="Arial"/>
        </w:rPr>
        <w:t xml:space="preserve"> the regulatory process requires the flexibility to consider </w:t>
      </w:r>
      <w:r w:rsidR="00A526D6" w:rsidRPr="00720A49">
        <w:rPr>
          <w:rFonts w:ascii="Aptos" w:hAnsi="Aptos" w:cs="Arial"/>
        </w:rPr>
        <w:t xml:space="preserve">many </w:t>
      </w:r>
      <w:r w:rsidRPr="00720A49">
        <w:rPr>
          <w:rFonts w:ascii="Aptos" w:hAnsi="Aptos" w:cs="Arial"/>
        </w:rPr>
        <w:t xml:space="preserve">qualitative and local jurisdictional issues. </w:t>
      </w:r>
    </w:p>
    <w:p w14:paraId="61F67B20" w14:textId="77777777" w:rsidR="0051721D" w:rsidRPr="00720A49" w:rsidRDefault="0051721D" w:rsidP="006E41F2">
      <w:pPr>
        <w:rPr>
          <w:rFonts w:ascii="Aptos" w:hAnsi="Aptos" w:cs="Arial"/>
        </w:rPr>
      </w:pPr>
    </w:p>
    <w:p w14:paraId="2D11988B" w14:textId="0830C553" w:rsidR="0003394F" w:rsidRPr="00720A49" w:rsidRDefault="00C93106" w:rsidP="00C63BDA">
      <w:pPr>
        <w:pStyle w:val="Heading1"/>
        <w:jc w:val="left"/>
        <w:rPr>
          <w:rFonts w:ascii="Aptos" w:hAnsi="Aptos"/>
        </w:rPr>
      </w:pPr>
      <w:bookmarkStart w:id="10" w:name="_Toc163569784"/>
      <w:bookmarkStart w:id="11" w:name="_Hlk83715615"/>
      <w:r w:rsidRPr="00720A49">
        <w:rPr>
          <w:rFonts w:ascii="Aptos" w:hAnsi="Aptos"/>
        </w:rPr>
        <w:t>RENEWABLE</w:t>
      </w:r>
      <w:r w:rsidR="0003394F" w:rsidRPr="00720A49">
        <w:rPr>
          <w:rFonts w:ascii="Aptos" w:hAnsi="Aptos"/>
        </w:rPr>
        <w:t xml:space="preserve"> COST-BENEFIT COMPONENTS</w:t>
      </w:r>
      <w:bookmarkEnd w:id="10"/>
      <w:r w:rsidR="0003394F" w:rsidRPr="00720A49">
        <w:rPr>
          <w:rFonts w:ascii="Aptos" w:hAnsi="Aptos"/>
        </w:rPr>
        <w:t xml:space="preserve"> </w:t>
      </w:r>
    </w:p>
    <w:p w14:paraId="1BBB114F" w14:textId="2E005A75" w:rsidR="0003394F" w:rsidRPr="00720A49" w:rsidRDefault="00F917C5" w:rsidP="006E41F2">
      <w:pPr>
        <w:pStyle w:val="Heading2"/>
        <w:rPr>
          <w:rFonts w:ascii="Aptos" w:hAnsi="Aptos"/>
        </w:rPr>
      </w:pPr>
      <w:bookmarkStart w:id="12" w:name="_Hlk83715622"/>
      <w:bookmarkEnd w:id="11"/>
      <w:r w:rsidRPr="00720A49">
        <w:rPr>
          <w:rFonts w:ascii="Aptos" w:hAnsi="Aptos"/>
        </w:rPr>
        <w:t>Definition</w:t>
      </w:r>
      <w:r w:rsidR="0051721D" w:rsidRPr="00720A49">
        <w:rPr>
          <w:rFonts w:ascii="Aptos" w:hAnsi="Aptos"/>
        </w:rPr>
        <w:t>s</w:t>
      </w:r>
    </w:p>
    <w:p w14:paraId="66C0D45C" w14:textId="71FF8097" w:rsidR="009B5EF8" w:rsidRPr="00720A49" w:rsidRDefault="009B5EF8" w:rsidP="00FF3E25">
      <w:pPr>
        <w:jc w:val="both"/>
        <w:rPr>
          <w:rFonts w:ascii="Aptos" w:hAnsi="Aptos" w:cs="Arial"/>
        </w:rPr>
      </w:pPr>
      <w:r w:rsidRPr="00720A49">
        <w:rPr>
          <w:rFonts w:ascii="Aptos" w:hAnsi="Aptos" w:cs="Arial"/>
        </w:rPr>
        <w:t xml:space="preserve">These are general terms </w:t>
      </w:r>
      <w:r w:rsidR="004922EC" w:rsidRPr="00720A49">
        <w:rPr>
          <w:rFonts w:ascii="Aptos" w:hAnsi="Aptos" w:cs="Arial"/>
        </w:rPr>
        <w:t xml:space="preserve">and acronyms </w:t>
      </w:r>
      <w:r w:rsidRPr="00720A49">
        <w:rPr>
          <w:rFonts w:ascii="Aptos" w:hAnsi="Aptos" w:cs="Arial"/>
        </w:rPr>
        <w:t>used in this document.</w:t>
      </w:r>
    </w:p>
    <w:bookmarkEnd w:id="12"/>
    <w:p w14:paraId="7293CF99" w14:textId="42262E5F" w:rsidR="0003394F" w:rsidRPr="00720A49" w:rsidRDefault="0003394F" w:rsidP="00FF3E25">
      <w:pPr>
        <w:pStyle w:val="Bullet1"/>
        <w:jc w:val="both"/>
        <w:rPr>
          <w:rFonts w:ascii="Aptos" w:hAnsi="Aptos" w:cs="Arial"/>
        </w:rPr>
      </w:pPr>
      <w:r w:rsidRPr="00720A49">
        <w:rPr>
          <w:rFonts w:ascii="Aptos" w:hAnsi="Aptos" w:cs="Arial"/>
          <w:b/>
          <w:bCs w:val="0"/>
        </w:rPr>
        <w:t>Avoided Energy Cost</w:t>
      </w:r>
      <w:r w:rsidR="009B5EF8" w:rsidRPr="00720A49">
        <w:rPr>
          <w:rFonts w:ascii="Aptos" w:hAnsi="Aptos" w:cs="Arial"/>
          <w:b/>
          <w:bCs w:val="0"/>
        </w:rPr>
        <w:t>s</w:t>
      </w:r>
      <w:r w:rsidRPr="00720A49">
        <w:rPr>
          <w:rFonts w:ascii="Aptos" w:hAnsi="Aptos" w:cs="Arial"/>
        </w:rPr>
        <w:t xml:space="preserve">: </w:t>
      </w:r>
      <w:r w:rsidR="0051721D" w:rsidRPr="00720A49">
        <w:rPr>
          <w:rFonts w:ascii="Aptos" w:hAnsi="Aptos" w:cs="Arial"/>
        </w:rPr>
        <w:t>The</w:t>
      </w:r>
      <w:r w:rsidRPr="00720A49">
        <w:rPr>
          <w:rFonts w:ascii="Aptos" w:hAnsi="Aptos" w:cs="Arial"/>
        </w:rPr>
        <w:t xml:space="preserve"> </w:t>
      </w:r>
      <w:r w:rsidR="00C55C54" w:rsidRPr="00720A49">
        <w:rPr>
          <w:rFonts w:ascii="Aptos" w:hAnsi="Aptos" w:cs="Arial"/>
        </w:rPr>
        <w:t xml:space="preserve">marginal </w:t>
      </w:r>
      <w:r w:rsidRPr="00720A49">
        <w:rPr>
          <w:rFonts w:ascii="Aptos" w:hAnsi="Aptos" w:cs="Arial"/>
        </w:rPr>
        <w:t>energy-related costs avoided on the Southern Company electric system</w:t>
      </w:r>
      <w:r w:rsidR="003F566D" w:rsidRPr="00720A49">
        <w:rPr>
          <w:rFonts w:ascii="Aptos" w:hAnsi="Aptos" w:cs="Arial"/>
        </w:rPr>
        <w:t>. These cost</w:t>
      </w:r>
      <w:r w:rsidR="007E08B6" w:rsidRPr="00720A49">
        <w:rPr>
          <w:rFonts w:ascii="Aptos" w:hAnsi="Aptos" w:cs="Arial"/>
        </w:rPr>
        <w:t>s</w:t>
      </w:r>
      <w:r w:rsidR="003F566D" w:rsidRPr="00720A49">
        <w:rPr>
          <w:rFonts w:ascii="Aptos" w:hAnsi="Aptos" w:cs="Arial"/>
        </w:rPr>
        <w:t xml:space="preserve"> include</w:t>
      </w:r>
      <w:r w:rsidRPr="00720A49">
        <w:rPr>
          <w:rFonts w:ascii="Aptos" w:hAnsi="Aptos" w:cs="Arial"/>
        </w:rPr>
        <w:t xml:space="preserve"> marginal replacement fuel costs, </w:t>
      </w:r>
      <w:r w:rsidR="00446541" w:rsidRPr="00720A49">
        <w:rPr>
          <w:rFonts w:ascii="Aptos" w:hAnsi="Aptos" w:cs="Arial"/>
        </w:rPr>
        <w:t xml:space="preserve">variable operations </w:t>
      </w:r>
      <w:r w:rsidRPr="00720A49">
        <w:rPr>
          <w:rFonts w:ascii="Aptos" w:hAnsi="Aptos" w:cs="Arial"/>
        </w:rPr>
        <w:t xml:space="preserve">and </w:t>
      </w:r>
      <w:r w:rsidR="00446541" w:rsidRPr="00720A49">
        <w:rPr>
          <w:rFonts w:ascii="Aptos" w:hAnsi="Aptos" w:cs="Arial"/>
        </w:rPr>
        <w:t>maintenance</w:t>
      </w:r>
      <w:r w:rsidRPr="00720A49">
        <w:rPr>
          <w:rFonts w:ascii="Aptos" w:hAnsi="Aptos" w:cs="Arial"/>
        </w:rPr>
        <w:t xml:space="preserve">, </w:t>
      </w:r>
      <w:r w:rsidR="00446541" w:rsidRPr="00720A49">
        <w:rPr>
          <w:rFonts w:ascii="Aptos" w:hAnsi="Aptos" w:cs="Arial"/>
        </w:rPr>
        <w:t>fuel handling</w:t>
      </w:r>
      <w:r w:rsidRPr="00720A49">
        <w:rPr>
          <w:rFonts w:ascii="Aptos" w:hAnsi="Aptos" w:cs="Arial"/>
        </w:rPr>
        <w:t xml:space="preserve">, </w:t>
      </w:r>
      <w:r w:rsidR="0077502C" w:rsidRPr="00720A49">
        <w:rPr>
          <w:rFonts w:ascii="Aptos" w:hAnsi="Aptos" w:cs="Arial"/>
        </w:rPr>
        <w:t xml:space="preserve">environmental </w:t>
      </w:r>
      <w:r w:rsidRPr="00720A49">
        <w:rPr>
          <w:rFonts w:ascii="Aptos" w:hAnsi="Aptos" w:cs="Arial"/>
        </w:rPr>
        <w:t xml:space="preserve">compliance costs, intra-day </w:t>
      </w:r>
      <w:r w:rsidR="00B870F1" w:rsidRPr="00720A49">
        <w:rPr>
          <w:rFonts w:ascii="Aptos" w:hAnsi="Aptos" w:cs="Arial"/>
        </w:rPr>
        <w:t xml:space="preserve">commitment </w:t>
      </w:r>
      <w:r w:rsidRPr="00720A49">
        <w:rPr>
          <w:rFonts w:ascii="Aptos" w:hAnsi="Aptos" w:cs="Arial"/>
        </w:rPr>
        <w:t xml:space="preserve">costs, and </w:t>
      </w:r>
      <w:r w:rsidR="0077502C" w:rsidRPr="00720A49">
        <w:rPr>
          <w:rFonts w:ascii="Aptos" w:hAnsi="Aptos" w:cs="Arial"/>
        </w:rPr>
        <w:t xml:space="preserve">applicable </w:t>
      </w:r>
      <w:r w:rsidRPr="00720A49">
        <w:rPr>
          <w:rFonts w:ascii="Aptos" w:hAnsi="Aptos" w:cs="Arial"/>
        </w:rPr>
        <w:t xml:space="preserve">transmission losses </w:t>
      </w:r>
      <w:r w:rsidR="003F566D" w:rsidRPr="00720A49">
        <w:rPr>
          <w:rFonts w:ascii="Aptos" w:hAnsi="Aptos" w:cs="Arial"/>
        </w:rPr>
        <w:t xml:space="preserve">when the </w:t>
      </w:r>
      <w:r w:rsidR="00532A13" w:rsidRPr="00720A49">
        <w:rPr>
          <w:rFonts w:ascii="Aptos" w:hAnsi="Aptos" w:cs="Arial"/>
        </w:rPr>
        <w:t>renewable generation served the load.</w:t>
      </w:r>
    </w:p>
    <w:p w14:paraId="2B9020DC" w14:textId="0494DA0D" w:rsidR="0003394F" w:rsidRPr="00720A49" w:rsidRDefault="00E52A17" w:rsidP="00FF3E25">
      <w:pPr>
        <w:pStyle w:val="Bullet1"/>
        <w:jc w:val="both"/>
        <w:rPr>
          <w:rFonts w:ascii="Aptos" w:hAnsi="Aptos" w:cs="Arial"/>
        </w:rPr>
      </w:pPr>
      <w:r w:rsidRPr="00720A49">
        <w:rPr>
          <w:rFonts w:ascii="Aptos" w:hAnsi="Aptos" w:cs="Arial"/>
          <w:b/>
        </w:rPr>
        <w:t>Economic Carrying Cost</w:t>
      </w:r>
      <w:r w:rsidR="00D639EC" w:rsidRPr="00720A49">
        <w:rPr>
          <w:rFonts w:ascii="Aptos" w:hAnsi="Aptos" w:cs="Arial"/>
          <w:b/>
        </w:rPr>
        <w:t xml:space="preserve"> (</w:t>
      </w:r>
      <w:r w:rsidR="003D5E81" w:rsidRPr="00720A49">
        <w:rPr>
          <w:rFonts w:ascii="Aptos" w:hAnsi="Aptos" w:cs="Arial"/>
          <w:b/>
        </w:rPr>
        <w:t>“</w:t>
      </w:r>
      <w:r w:rsidR="00D639EC" w:rsidRPr="00720A49">
        <w:rPr>
          <w:rFonts w:ascii="Aptos" w:hAnsi="Aptos" w:cs="Arial"/>
          <w:b/>
        </w:rPr>
        <w:t>ECC</w:t>
      </w:r>
      <w:r w:rsidR="003D5E81" w:rsidRPr="00720A49">
        <w:rPr>
          <w:rFonts w:ascii="Aptos" w:hAnsi="Aptos" w:cs="Arial"/>
          <w:b/>
        </w:rPr>
        <w:t>”</w:t>
      </w:r>
      <w:r w:rsidR="00D639EC" w:rsidRPr="00720A49">
        <w:rPr>
          <w:rFonts w:ascii="Aptos" w:hAnsi="Aptos" w:cs="Arial"/>
          <w:b/>
        </w:rPr>
        <w:t>)</w:t>
      </w:r>
      <w:r w:rsidRPr="00720A49">
        <w:rPr>
          <w:rFonts w:ascii="Aptos" w:hAnsi="Aptos" w:cs="Arial"/>
        </w:rPr>
        <w:t xml:space="preserve">: The capital and fixed operations </w:t>
      </w:r>
      <w:r w:rsidR="0051721D" w:rsidRPr="00720A49">
        <w:rPr>
          <w:rFonts w:ascii="Aptos" w:hAnsi="Aptos" w:cs="Arial"/>
        </w:rPr>
        <w:t xml:space="preserve">and </w:t>
      </w:r>
      <w:r w:rsidRPr="00720A49">
        <w:rPr>
          <w:rFonts w:ascii="Aptos" w:hAnsi="Aptos" w:cs="Arial"/>
        </w:rPr>
        <w:t>maintenance (</w:t>
      </w:r>
      <w:r w:rsidR="00BE3655" w:rsidRPr="00720A49">
        <w:rPr>
          <w:rFonts w:ascii="Aptos" w:hAnsi="Aptos" w:cs="Arial"/>
        </w:rPr>
        <w:t>“</w:t>
      </w:r>
      <w:r w:rsidRPr="00720A49">
        <w:rPr>
          <w:rFonts w:ascii="Aptos" w:hAnsi="Aptos" w:cs="Arial"/>
        </w:rPr>
        <w:t>FOM</w:t>
      </w:r>
      <w:r w:rsidR="00BE3655" w:rsidRPr="00720A49">
        <w:rPr>
          <w:rFonts w:ascii="Aptos" w:hAnsi="Aptos" w:cs="Arial"/>
        </w:rPr>
        <w:t>”</w:t>
      </w:r>
      <w:r w:rsidRPr="00720A49">
        <w:rPr>
          <w:rFonts w:ascii="Aptos" w:hAnsi="Aptos" w:cs="Arial"/>
        </w:rPr>
        <w:t xml:space="preserve">) </w:t>
      </w:r>
      <w:r w:rsidR="00590045" w:rsidRPr="00720A49">
        <w:rPr>
          <w:rFonts w:ascii="Aptos" w:hAnsi="Aptos" w:cs="Arial"/>
        </w:rPr>
        <w:t xml:space="preserve">cost </w:t>
      </w:r>
      <w:r w:rsidRPr="00720A49">
        <w:rPr>
          <w:rFonts w:ascii="Aptos" w:hAnsi="Aptos" w:cs="Arial"/>
        </w:rPr>
        <w:t>related to the cost of deferring an investment for one year. ECC represents the avoided cost of an investment for a given year.</w:t>
      </w:r>
    </w:p>
    <w:p w14:paraId="221381A3" w14:textId="7601B18B" w:rsidR="006548E9" w:rsidRPr="00720A49" w:rsidRDefault="00F40696" w:rsidP="00FF3E25">
      <w:pPr>
        <w:pStyle w:val="Bullet1"/>
        <w:jc w:val="both"/>
        <w:rPr>
          <w:rFonts w:ascii="Aptos" w:hAnsi="Aptos" w:cs="Arial"/>
        </w:rPr>
      </w:pPr>
      <w:r w:rsidRPr="00720A49">
        <w:rPr>
          <w:rFonts w:ascii="Aptos" w:hAnsi="Aptos" w:cs="Arial"/>
          <w:b/>
          <w:bCs w:val="0"/>
        </w:rPr>
        <w:t xml:space="preserve">Distributed Generation (“DG”): </w:t>
      </w:r>
      <w:r w:rsidR="003014B9" w:rsidRPr="00720A49">
        <w:rPr>
          <w:rFonts w:ascii="Aptos" w:hAnsi="Aptos" w:cs="Arial"/>
        </w:rPr>
        <w:t>Small-scale renewable generation facilities that are connected at the distribution level and are intended to serve local load.</w:t>
      </w:r>
    </w:p>
    <w:p w14:paraId="2FA801B4" w14:textId="663B6807" w:rsidR="00D45D4E" w:rsidRPr="00720A49" w:rsidRDefault="00D45D4E" w:rsidP="00FF3E25">
      <w:pPr>
        <w:pStyle w:val="Bullet1"/>
        <w:jc w:val="both"/>
        <w:rPr>
          <w:rFonts w:ascii="Aptos" w:hAnsi="Aptos" w:cs="Arial"/>
        </w:rPr>
      </w:pPr>
      <w:r w:rsidRPr="00720A49">
        <w:rPr>
          <w:rFonts w:ascii="Aptos" w:hAnsi="Aptos" w:cs="Arial"/>
          <w:b/>
          <w:bCs w:val="0"/>
        </w:rPr>
        <w:t>Public Utility Regulatory Policies Act (</w:t>
      </w:r>
      <w:r w:rsidR="003D5E81" w:rsidRPr="00720A49">
        <w:rPr>
          <w:rFonts w:ascii="Aptos" w:hAnsi="Aptos" w:cs="Arial"/>
          <w:b/>
          <w:bCs w:val="0"/>
        </w:rPr>
        <w:t>“</w:t>
      </w:r>
      <w:r w:rsidRPr="00720A49">
        <w:rPr>
          <w:rFonts w:ascii="Aptos" w:hAnsi="Aptos" w:cs="Arial"/>
          <w:b/>
          <w:bCs w:val="0"/>
        </w:rPr>
        <w:t>PURPA</w:t>
      </w:r>
      <w:r w:rsidR="003D5E81" w:rsidRPr="00720A49">
        <w:rPr>
          <w:rFonts w:ascii="Aptos" w:hAnsi="Aptos" w:cs="Arial"/>
          <w:b/>
          <w:bCs w:val="0"/>
        </w:rPr>
        <w:t>”</w:t>
      </w:r>
      <w:r w:rsidRPr="00720A49">
        <w:rPr>
          <w:rFonts w:ascii="Aptos" w:hAnsi="Aptos" w:cs="Arial"/>
          <w:b/>
          <w:bCs w:val="0"/>
        </w:rPr>
        <w:t xml:space="preserve">): </w:t>
      </w:r>
      <w:r w:rsidRPr="00720A49">
        <w:rPr>
          <w:rFonts w:ascii="Aptos" w:hAnsi="Aptos" w:cs="Arial"/>
        </w:rPr>
        <w:t xml:space="preserve">A </w:t>
      </w:r>
      <w:r w:rsidR="007E04C2" w:rsidRPr="00720A49">
        <w:rPr>
          <w:rFonts w:ascii="Aptos" w:hAnsi="Aptos" w:cs="Arial"/>
        </w:rPr>
        <w:t>federal statu</w:t>
      </w:r>
      <w:r w:rsidR="003014B9" w:rsidRPr="00720A49">
        <w:rPr>
          <w:rFonts w:ascii="Aptos" w:hAnsi="Aptos" w:cs="Arial"/>
        </w:rPr>
        <w:t>t</w:t>
      </w:r>
      <w:r w:rsidR="007E04C2" w:rsidRPr="00720A49">
        <w:rPr>
          <w:rFonts w:ascii="Aptos" w:hAnsi="Aptos" w:cs="Arial"/>
        </w:rPr>
        <w:t>e designed</w:t>
      </w:r>
      <w:r w:rsidRPr="00720A49">
        <w:rPr>
          <w:rFonts w:ascii="Aptos" w:hAnsi="Aptos" w:cs="Arial"/>
        </w:rPr>
        <w:t xml:space="preserve"> to promote energy conservation and promote greater use of domestic energy and </w:t>
      </w:r>
      <w:r w:rsidR="0033194D" w:rsidRPr="00720A49">
        <w:rPr>
          <w:rFonts w:ascii="Aptos" w:hAnsi="Aptos" w:cs="Arial"/>
        </w:rPr>
        <w:t>renewable energy.</w:t>
      </w:r>
    </w:p>
    <w:p w14:paraId="021F2FF8" w14:textId="1A53BACC" w:rsidR="0033194D" w:rsidRPr="00720A49" w:rsidRDefault="0033194D" w:rsidP="00FF3E25">
      <w:pPr>
        <w:pStyle w:val="Bullet1"/>
        <w:jc w:val="both"/>
        <w:rPr>
          <w:rFonts w:ascii="Aptos" w:hAnsi="Aptos" w:cs="Arial"/>
        </w:rPr>
      </w:pPr>
      <w:r w:rsidRPr="00720A49">
        <w:rPr>
          <w:rFonts w:ascii="Aptos" w:hAnsi="Aptos" w:cs="Arial"/>
          <w:b/>
          <w:bCs w:val="0"/>
        </w:rPr>
        <w:t>Renewable Energy Certificates (</w:t>
      </w:r>
      <w:r w:rsidR="007E04C2" w:rsidRPr="00720A49">
        <w:rPr>
          <w:rFonts w:ascii="Aptos" w:hAnsi="Aptos" w:cs="Arial"/>
          <w:b/>
          <w:bCs w:val="0"/>
        </w:rPr>
        <w:t>“</w:t>
      </w:r>
      <w:r w:rsidRPr="00720A49">
        <w:rPr>
          <w:rFonts w:ascii="Aptos" w:hAnsi="Aptos" w:cs="Arial"/>
          <w:b/>
          <w:bCs w:val="0"/>
        </w:rPr>
        <w:t>RECs</w:t>
      </w:r>
      <w:r w:rsidR="007E04C2" w:rsidRPr="00720A49">
        <w:rPr>
          <w:rFonts w:ascii="Aptos" w:hAnsi="Aptos" w:cs="Arial"/>
          <w:b/>
          <w:bCs w:val="0"/>
        </w:rPr>
        <w:t>”</w:t>
      </w:r>
      <w:r w:rsidRPr="00720A49">
        <w:rPr>
          <w:rFonts w:ascii="Aptos" w:hAnsi="Aptos" w:cs="Arial"/>
          <w:b/>
          <w:bCs w:val="0"/>
        </w:rPr>
        <w:t>):</w:t>
      </w:r>
      <w:r w:rsidRPr="00720A49">
        <w:rPr>
          <w:rFonts w:ascii="Aptos" w:hAnsi="Aptos" w:cs="Arial"/>
        </w:rPr>
        <w:t xml:space="preserve"> a market-based instrument that represents the property rights to the environmental, social, and other non-power attributes of renewable electricity generation.</w:t>
      </w:r>
    </w:p>
    <w:p w14:paraId="6B347B4B" w14:textId="22F70ED7" w:rsidR="0003394F" w:rsidRPr="00720A49" w:rsidRDefault="00CA55F6" w:rsidP="00FF3E25">
      <w:pPr>
        <w:pStyle w:val="Bullet1"/>
        <w:jc w:val="both"/>
        <w:rPr>
          <w:rFonts w:ascii="Aptos" w:hAnsi="Aptos" w:cs="Arial"/>
        </w:rPr>
      </w:pPr>
      <w:r w:rsidRPr="00720A49">
        <w:rPr>
          <w:rFonts w:ascii="Aptos" w:hAnsi="Aptos" w:cs="Arial"/>
          <w:b/>
        </w:rPr>
        <w:t>Utility-</w:t>
      </w:r>
      <w:r w:rsidR="00590045" w:rsidRPr="00720A49">
        <w:rPr>
          <w:rFonts w:ascii="Aptos" w:hAnsi="Aptos" w:cs="Arial"/>
          <w:b/>
        </w:rPr>
        <w:t>S</w:t>
      </w:r>
      <w:r w:rsidRPr="00720A49">
        <w:rPr>
          <w:rFonts w:ascii="Aptos" w:hAnsi="Aptos" w:cs="Arial"/>
          <w:b/>
        </w:rPr>
        <w:t>cale</w:t>
      </w:r>
      <w:r w:rsidR="0003394F" w:rsidRPr="00720A49">
        <w:rPr>
          <w:rFonts w:ascii="Aptos" w:hAnsi="Aptos" w:cs="Arial"/>
          <w:b/>
        </w:rPr>
        <w:t>-Distribution (</w:t>
      </w:r>
      <w:r w:rsidR="007E04C2" w:rsidRPr="00720A49">
        <w:rPr>
          <w:rFonts w:ascii="Aptos" w:hAnsi="Aptos" w:cs="Arial"/>
          <w:b/>
        </w:rPr>
        <w:t>“</w:t>
      </w:r>
      <w:r w:rsidR="0003394F" w:rsidRPr="00720A49">
        <w:rPr>
          <w:rFonts w:ascii="Aptos" w:hAnsi="Aptos" w:cs="Arial"/>
          <w:b/>
        </w:rPr>
        <w:t>US-D</w:t>
      </w:r>
      <w:r w:rsidR="007E04C2" w:rsidRPr="00720A49">
        <w:rPr>
          <w:rFonts w:ascii="Aptos" w:hAnsi="Aptos" w:cs="Arial"/>
          <w:b/>
        </w:rPr>
        <w:t>”</w:t>
      </w:r>
      <w:r w:rsidR="0003394F" w:rsidRPr="00720A49">
        <w:rPr>
          <w:rFonts w:ascii="Aptos" w:hAnsi="Aptos" w:cs="Arial"/>
          <w:b/>
        </w:rPr>
        <w:t>):</w:t>
      </w:r>
      <w:r w:rsidR="0003394F" w:rsidRPr="00720A49">
        <w:rPr>
          <w:rFonts w:ascii="Aptos" w:hAnsi="Aptos" w:cs="Arial"/>
        </w:rPr>
        <w:t xml:space="preserve"> </w:t>
      </w:r>
      <w:r w:rsidR="003F566D" w:rsidRPr="00720A49">
        <w:rPr>
          <w:rFonts w:ascii="Aptos" w:hAnsi="Aptos" w:cs="Arial"/>
        </w:rPr>
        <w:t xml:space="preserve">US-D </w:t>
      </w:r>
      <w:r w:rsidR="008450BF" w:rsidRPr="00720A49">
        <w:rPr>
          <w:rFonts w:ascii="Aptos" w:hAnsi="Aptos" w:cs="Arial"/>
        </w:rPr>
        <w:t xml:space="preserve">renewable </w:t>
      </w:r>
      <w:r w:rsidR="0003394F" w:rsidRPr="00720A49">
        <w:rPr>
          <w:rFonts w:ascii="Aptos" w:hAnsi="Aptos" w:cs="Arial"/>
        </w:rPr>
        <w:t>facilities connect</w:t>
      </w:r>
      <w:r w:rsidR="000E16B1" w:rsidRPr="00720A49">
        <w:rPr>
          <w:rFonts w:ascii="Aptos" w:hAnsi="Aptos" w:cs="Arial"/>
        </w:rPr>
        <w:t>ions are</w:t>
      </w:r>
      <w:r w:rsidR="0003394F" w:rsidRPr="00720A49">
        <w:rPr>
          <w:rFonts w:ascii="Aptos" w:hAnsi="Aptos" w:cs="Arial"/>
        </w:rPr>
        <w:t xml:space="preserve"> at the distribution level on a dedicated distribution feeder.</w:t>
      </w:r>
    </w:p>
    <w:p w14:paraId="576AE148" w14:textId="1EBA99F6" w:rsidR="0003394F" w:rsidRPr="00720A49" w:rsidRDefault="00CA55F6" w:rsidP="00FF3E25">
      <w:pPr>
        <w:pStyle w:val="Bullet1"/>
        <w:jc w:val="both"/>
        <w:rPr>
          <w:rFonts w:ascii="Aptos" w:hAnsi="Aptos" w:cs="Arial"/>
        </w:rPr>
      </w:pPr>
      <w:r w:rsidRPr="00720A49">
        <w:rPr>
          <w:rFonts w:ascii="Aptos" w:hAnsi="Aptos" w:cs="Arial"/>
          <w:b/>
        </w:rPr>
        <w:t>Utility-</w:t>
      </w:r>
      <w:r w:rsidR="00590045" w:rsidRPr="00720A49">
        <w:rPr>
          <w:rFonts w:ascii="Aptos" w:hAnsi="Aptos" w:cs="Arial"/>
          <w:b/>
        </w:rPr>
        <w:t>S</w:t>
      </w:r>
      <w:r w:rsidRPr="00720A49">
        <w:rPr>
          <w:rFonts w:ascii="Aptos" w:hAnsi="Aptos" w:cs="Arial"/>
          <w:b/>
        </w:rPr>
        <w:t>cale</w:t>
      </w:r>
      <w:r w:rsidR="0003394F" w:rsidRPr="00720A49">
        <w:rPr>
          <w:rFonts w:ascii="Aptos" w:hAnsi="Aptos" w:cs="Arial"/>
          <w:b/>
        </w:rPr>
        <w:t>-Transmission (</w:t>
      </w:r>
      <w:r w:rsidR="007E04C2" w:rsidRPr="00720A49">
        <w:rPr>
          <w:rFonts w:ascii="Aptos" w:hAnsi="Aptos" w:cs="Arial"/>
          <w:b/>
        </w:rPr>
        <w:t>“</w:t>
      </w:r>
      <w:r w:rsidR="0003394F" w:rsidRPr="00720A49">
        <w:rPr>
          <w:rFonts w:ascii="Aptos" w:hAnsi="Aptos" w:cs="Arial"/>
          <w:b/>
        </w:rPr>
        <w:t>US-T</w:t>
      </w:r>
      <w:r w:rsidR="007E04C2" w:rsidRPr="00720A49">
        <w:rPr>
          <w:rFonts w:ascii="Aptos" w:hAnsi="Aptos" w:cs="Arial"/>
          <w:b/>
        </w:rPr>
        <w:t>”</w:t>
      </w:r>
      <w:r w:rsidR="0003394F" w:rsidRPr="00720A49">
        <w:rPr>
          <w:rFonts w:ascii="Aptos" w:hAnsi="Aptos" w:cs="Arial"/>
          <w:b/>
        </w:rPr>
        <w:t>):</w:t>
      </w:r>
      <w:r w:rsidR="0003394F" w:rsidRPr="00720A49">
        <w:rPr>
          <w:rFonts w:ascii="Aptos" w:hAnsi="Aptos" w:cs="Arial"/>
        </w:rPr>
        <w:t xml:space="preserve"> </w:t>
      </w:r>
      <w:r w:rsidR="003F566D" w:rsidRPr="00720A49">
        <w:rPr>
          <w:rFonts w:ascii="Aptos" w:hAnsi="Aptos" w:cs="Arial"/>
        </w:rPr>
        <w:t xml:space="preserve">US-T </w:t>
      </w:r>
      <w:r w:rsidR="008450BF" w:rsidRPr="00720A49">
        <w:rPr>
          <w:rFonts w:ascii="Aptos" w:hAnsi="Aptos" w:cs="Arial"/>
        </w:rPr>
        <w:t xml:space="preserve">renewable </w:t>
      </w:r>
      <w:r w:rsidR="0003394F" w:rsidRPr="00720A49">
        <w:rPr>
          <w:rFonts w:ascii="Aptos" w:hAnsi="Aptos" w:cs="Arial"/>
        </w:rPr>
        <w:t xml:space="preserve">generation facilities </w:t>
      </w:r>
      <w:r w:rsidR="00CC7374" w:rsidRPr="00720A49">
        <w:rPr>
          <w:rFonts w:ascii="Aptos" w:hAnsi="Aptos" w:cs="Arial"/>
        </w:rPr>
        <w:t xml:space="preserve">are </w:t>
      </w:r>
      <w:r w:rsidR="0003394F" w:rsidRPr="00720A49">
        <w:rPr>
          <w:rFonts w:ascii="Aptos" w:hAnsi="Aptos" w:cs="Arial"/>
        </w:rPr>
        <w:t>connected at the transmission level.</w:t>
      </w:r>
    </w:p>
    <w:p w14:paraId="3A517CDF" w14:textId="729B35AC" w:rsidR="0003394F" w:rsidRPr="00720A49" w:rsidRDefault="0003394F" w:rsidP="00FF3E25">
      <w:pPr>
        <w:pStyle w:val="Bullet1"/>
        <w:jc w:val="both"/>
        <w:rPr>
          <w:rFonts w:ascii="Aptos" w:hAnsi="Aptos" w:cs="Arial"/>
        </w:rPr>
      </w:pPr>
      <w:r w:rsidRPr="00720A49">
        <w:rPr>
          <w:rFonts w:ascii="Aptos" w:hAnsi="Aptos" w:cs="Arial"/>
          <w:b/>
        </w:rPr>
        <w:t>Variable Energy Resource (</w:t>
      </w:r>
      <w:r w:rsidR="007E04C2" w:rsidRPr="00720A49">
        <w:rPr>
          <w:rFonts w:ascii="Aptos" w:hAnsi="Aptos" w:cs="Arial"/>
          <w:b/>
        </w:rPr>
        <w:t>“</w:t>
      </w:r>
      <w:r w:rsidRPr="00720A49">
        <w:rPr>
          <w:rFonts w:ascii="Aptos" w:hAnsi="Aptos" w:cs="Arial"/>
          <w:b/>
        </w:rPr>
        <w:t>VER</w:t>
      </w:r>
      <w:r w:rsidR="007E04C2" w:rsidRPr="00720A49">
        <w:rPr>
          <w:rFonts w:ascii="Aptos" w:hAnsi="Aptos" w:cs="Arial"/>
          <w:b/>
        </w:rPr>
        <w:t>”</w:t>
      </w:r>
      <w:r w:rsidRPr="00720A49">
        <w:rPr>
          <w:rFonts w:ascii="Aptos" w:hAnsi="Aptos" w:cs="Arial"/>
          <w:b/>
        </w:rPr>
        <w:t>):</w:t>
      </w:r>
      <w:r w:rsidRPr="00720A49">
        <w:rPr>
          <w:rFonts w:ascii="Aptos" w:hAnsi="Aptos" w:cs="Arial"/>
        </w:rPr>
        <w:t xml:space="preserve"> A</w:t>
      </w:r>
      <w:r w:rsidR="00891DE9" w:rsidRPr="00720A49">
        <w:rPr>
          <w:rFonts w:ascii="Aptos" w:hAnsi="Aptos" w:cs="Arial"/>
        </w:rPr>
        <w:t xml:space="preserve"> VER</w:t>
      </w:r>
      <w:r w:rsidR="00F86228" w:rsidRPr="00720A49">
        <w:rPr>
          <w:rFonts w:ascii="Aptos" w:hAnsi="Aptos" w:cs="Arial"/>
        </w:rPr>
        <w:t xml:space="preserve"> produce</w:t>
      </w:r>
      <w:r w:rsidR="00891DE9" w:rsidRPr="00720A49">
        <w:rPr>
          <w:rFonts w:ascii="Aptos" w:hAnsi="Aptos" w:cs="Arial"/>
        </w:rPr>
        <w:t>s</w:t>
      </w:r>
      <w:r w:rsidRPr="00720A49">
        <w:rPr>
          <w:rFonts w:ascii="Aptos" w:hAnsi="Aptos" w:cs="Arial"/>
        </w:rPr>
        <w:t xml:space="preserve"> electricity by an energy source that (1) is renewable</w:t>
      </w:r>
      <w:r w:rsidR="00CC7374" w:rsidRPr="00720A49">
        <w:rPr>
          <w:rFonts w:ascii="Aptos" w:hAnsi="Aptos" w:cs="Arial"/>
        </w:rPr>
        <w:t>,</w:t>
      </w:r>
      <w:r w:rsidRPr="00720A49">
        <w:rPr>
          <w:rFonts w:ascii="Aptos" w:hAnsi="Aptos" w:cs="Arial"/>
        </w:rPr>
        <w:t xml:space="preserve"> (2) cannot be stored by the facility owner or operator</w:t>
      </w:r>
      <w:r w:rsidR="00CC7374" w:rsidRPr="00720A49">
        <w:rPr>
          <w:rFonts w:ascii="Aptos" w:hAnsi="Aptos" w:cs="Arial"/>
        </w:rPr>
        <w:t>,</w:t>
      </w:r>
      <w:r w:rsidRPr="00720A49">
        <w:rPr>
          <w:rFonts w:ascii="Aptos" w:hAnsi="Aptos" w:cs="Arial"/>
        </w:rPr>
        <w:t xml:space="preserve"> and (3) has variability that is beyond the control of the facility owner or operator.</w:t>
      </w:r>
      <w:r w:rsidR="0051721D" w:rsidRPr="00720A49">
        <w:rPr>
          <w:rFonts w:ascii="Aptos" w:hAnsi="Aptos" w:cs="Arial"/>
        </w:rPr>
        <w:t xml:space="preserve"> (This definition was established by FERC:  </w:t>
      </w:r>
      <w:r w:rsidR="0051721D" w:rsidRPr="00720A49">
        <w:rPr>
          <w:rFonts w:ascii="Aptos" w:hAnsi="Aptos" w:cs="Arial"/>
          <w:i/>
          <w:iCs/>
        </w:rPr>
        <w:t>Integration of Variable Energy Resources Notice of Proposed Rulemaking</w:t>
      </w:r>
      <w:r w:rsidR="0051721D" w:rsidRPr="00720A49">
        <w:rPr>
          <w:rFonts w:ascii="Aptos" w:hAnsi="Aptos" w:cs="Arial"/>
        </w:rPr>
        <w:t>, FERC Stats. &amp; Regs. ¶ 32,664 at P64 (2010).)</w:t>
      </w:r>
    </w:p>
    <w:p w14:paraId="5CFDDBB0" w14:textId="77777777" w:rsidR="00F655D6" w:rsidRPr="00720A49" w:rsidRDefault="00F655D6" w:rsidP="006E41F2">
      <w:pPr>
        <w:pStyle w:val="Heading2"/>
        <w:rPr>
          <w:rFonts w:ascii="Aptos" w:hAnsi="Aptos"/>
        </w:rPr>
      </w:pPr>
      <w:bookmarkStart w:id="13" w:name="_Hlk83715630"/>
      <w:r w:rsidRPr="00720A49">
        <w:rPr>
          <w:rFonts w:ascii="Aptos" w:hAnsi="Aptos"/>
        </w:rPr>
        <w:lastRenderedPageBreak/>
        <w:t>Components Summary</w:t>
      </w:r>
    </w:p>
    <w:p w14:paraId="0DEB09A6" w14:textId="4E5CAF00" w:rsidR="00F655D6" w:rsidRPr="00720A49" w:rsidRDefault="009B5EF8" w:rsidP="00FF3E25">
      <w:pPr>
        <w:jc w:val="both"/>
        <w:rPr>
          <w:rFonts w:ascii="Aptos" w:hAnsi="Aptos" w:cs="Arial"/>
        </w:rPr>
      </w:pPr>
      <w:r w:rsidRPr="00720A49">
        <w:rPr>
          <w:rFonts w:ascii="Aptos" w:hAnsi="Aptos" w:cs="Arial"/>
        </w:rPr>
        <w:t xml:space="preserve">This section provides a detailed summary of the components in the Southern Company RCB Framework. </w:t>
      </w:r>
    </w:p>
    <w:p w14:paraId="27C86905" w14:textId="7B4C0485" w:rsidR="00801042" w:rsidRPr="00720A49" w:rsidRDefault="00801042" w:rsidP="00935E4F">
      <w:pPr>
        <w:pStyle w:val="Heading3"/>
        <w:rPr>
          <w:rFonts w:ascii="Aptos" w:hAnsi="Aptos"/>
        </w:rPr>
      </w:pPr>
      <w:bookmarkStart w:id="14" w:name="_Hlk83715640"/>
      <w:bookmarkEnd w:id="13"/>
      <w:r w:rsidRPr="00720A49">
        <w:rPr>
          <w:rFonts w:ascii="Aptos" w:hAnsi="Aptos"/>
        </w:rPr>
        <w:t>Avoided Energy Cost</w:t>
      </w:r>
      <w:r w:rsidR="009B5EF8" w:rsidRPr="00720A49">
        <w:rPr>
          <w:rFonts w:ascii="Aptos" w:hAnsi="Aptos"/>
        </w:rPr>
        <w:t>s</w:t>
      </w:r>
    </w:p>
    <w:bookmarkEnd w:id="14"/>
    <w:p w14:paraId="376C4C4B" w14:textId="39FB5473" w:rsidR="009B5EF8" w:rsidRPr="00720A49" w:rsidRDefault="00601F69" w:rsidP="00FF3E25">
      <w:pPr>
        <w:jc w:val="both"/>
        <w:rPr>
          <w:rFonts w:ascii="Aptos" w:hAnsi="Aptos" w:cs="Arial"/>
        </w:rPr>
      </w:pPr>
      <w:r w:rsidRPr="00720A49">
        <w:rPr>
          <w:rFonts w:ascii="Aptos" w:hAnsi="Aptos" w:cs="Arial"/>
        </w:rPr>
        <w:t>Avoided Energy Cost</w:t>
      </w:r>
      <w:r w:rsidR="00B8655F" w:rsidRPr="00720A49">
        <w:rPr>
          <w:rFonts w:ascii="Aptos" w:hAnsi="Aptos" w:cs="Arial"/>
        </w:rPr>
        <w:t>s</w:t>
      </w:r>
      <w:r w:rsidR="000E16B1" w:rsidRPr="00720A49">
        <w:rPr>
          <w:rFonts w:ascii="Aptos" w:hAnsi="Aptos" w:cs="Arial"/>
        </w:rPr>
        <w:t xml:space="preserve"> </w:t>
      </w:r>
      <w:r w:rsidR="003617A9" w:rsidRPr="00720A49">
        <w:rPr>
          <w:rFonts w:ascii="Aptos" w:hAnsi="Aptos" w:cs="Arial"/>
        </w:rPr>
        <w:t>for this report represents</w:t>
      </w:r>
      <w:r w:rsidR="009B5EF8" w:rsidRPr="00720A49">
        <w:rPr>
          <w:rFonts w:ascii="Aptos" w:hAnsi="Aptos" w:cs="Arial"/>
        </w:rPr>
        <w:t xml:space="preserve"> </w:t>
      </w:r>
      <w:r w:rsidR="00801042" w:rsidRPr="00720A49">
        <w:rPr>
          <w:rFonts w:ascii="Aptos" w:hAnsi="Aptos" w:cs="Arial"/>
        </w:rPr>
        <w:t xml:space="preserve">the </w:t>
      </w:r>
      <w:r w:rsidR="00B301F5" w:rsidRPr="00720A49">
        <w:rPr>
          <w:rFonts w:ascii="Aptos" w:hAnsi="Aptos" w:cs="Arial"/>
        </w:rPr>
        <w:t xml:space="preserve">marginal </w:t>
      </w:r>
      <w:r w:rsidR="00801042" w:rsidRPr="00720A49">
        <w:rPr>
          <w:rFonts w:ascii="Aptos" w:hAnsi="Aptos" w:cs="Arial"/>
        </w:rPr>
        <w:t xml:space="preserve">energy-related costs </w:t>
      </w:r>
      <w:r w:rsidR="009B5EF8" w:rsidRPr="00720A49">
        <w:rPr>
          <w:rFonts w:ascii="Aptos" w:hAnsi="Aptos" w:cs="Arial"/>
        </w:rPr>
        <w:t xml:space="preserve">not incurred </w:t>
      </w:r>
      <w:r w:rsidR="00801042" w:rsidRPr="00720A49">
        <w:rPr>
          <w:rFonts w:ascii="Aptos" w:hAnsi="Aptos" w:cs="Arial"/>
        </w:rPr>
        <w:t>on the Southern Company electric system</w:t>
      </w:r>
      <w:r w:rsidR="00C2565A" w:rsidRPr="00720A49">
        <w:rPr>
          <w:rFonts w:ascii="Aptos" w:hAnsi="Aptos" w:cs="Arial"/>
        </w:rPr>
        <w:t xml:space="preserve"> when renewable generation serves the load</w:t>
      </w:r>
      <w:r w:rsidR="000E16B1" w:rsidRPr="00720A49">
        <w:rPr>
          <w:rFonts w:ascii="Aptos" w:hAnsi="Aptos" w:cs="Arial"/>
        </w:rPr>
        <w:t xml:space="preserve">. </w:t>
      </w:r>
      <w:r w:rsidR="009B5EF8" w:rsidRPr="00720A49">
        <w:rPr>
          <w:rFonts w:ascii="Aptos" w:hAnsi="Aptos" w:cs="Arial"/>
          <w:bCs/>
        </w:rPr>
        <w:t>As discussed in Section 4,</w:t>
      </w:r>
      <w:r w:rsidR="009B5EF8" w:rsidRPr="00720A49">
        <w:rPr>
          <w:rFonts w:ascii="Aptos" w:hAnsi="Aptos" w:cs="Arial"/>
          <w:b/>
        </w:rPr>
        <w:t xml:space="preserve"> </w:t>
      </w:r>
      <w:r w:rsidR="009B5EF8" w:rsidRPr="00720A49">
        <w:rPr>
          <w:rFonts w:ascii="Aptos" w:hAnsi="Aptos" w:cs="Arial"/>
        </w:rPr>
        <w:t xml:space="preserve">the renewable-weighted Avoided Energy Costs represent the energy cost expected to be avoided during the renewable generation hours.  </w:t>
      </w:r>
    </w:p>
    <w:p w14:paraId="6F36EA9A" w14:textId="65D7355F" w:rsidR="0003394F" w:rsidRPr="00720A49" w:rsidRDefault="009B5EF8" w:rsidP="00FF3E25">
      <w:pPr>
        <w:jc w:val="both"/>
        <w:rPr>
          <w:rFonts w:ascii="Aptos" w:hAnsi="Aptos" w:cs="Arial"/>
        </w:rPr>
      </w:pPr>
      <w:r w:rsidRPr="00720A49">
        <w:rPr>
          <w:rFonts w:ascii="Aptos" w:hAnsi="Aptos" w:cs="Arial"/>
        </w:rPr>
        <w:t xml:space="preserve">Avoided Energy Costs is a </w:t>
      </w:r>
      <w:r w:rsidR="00004339" w:rsidRPr="00720A49">
        <w:rPr>
          <w:rFonts w:ascii="Aptos" w:hAnsi="Aptos" w:cs="Arial"/>
        </w:rPr>
        <w:t>resource</w:t>
      </w:r>
      <w:r w:rsidRPr="00720A49">
        <w:rPr>
          <w:rFonts w:ascii="Aptos" w:hAnsi="Aptos" w:cs="Arial"/>
        </w:rPr>
        <w:t>-specific RCB component. Cost</w:t>
      </w:r>
      <w:r w:rsidR="000E16B1" w:rsidRPr="00720A49">
        <w:rPr>
          <w:rFonts w:ascii="Aptos" w:hAnsi="Aptos" w:cs="Arial"/>
        </w:rPr>
        <w:t xml:space="preserve"> </w:t>
      </w:r>
      <w:r w:rsidR="00801042" w:rsidRPr="00720A49">
        <w:rPr>
          <w:rFonts w:ascii="Aptos" w:hAnsi="Aptos" w:cs="Arial"/>
        </w:rPr>
        <w:t xml:space="preserve">components </w:t>
      </w:r>
      <w:proofErr w:type="gramStart"/>
      <w:r w:rsidR="007E04C2" w:rsidRPr="00720A49">
        <w:rPr>
          <w:rFonts w:ascii="Aptos" w:hAnsi="Aptos" w:cs="Arial"/>
        </w:rPr>
        <w:t>include</w:t>
      </w:r>
      <w:r w:rsidRPr="00720A49">
        <w:rPr>
          <w:rFonts w:ascii="Aptos" w:hAnsi="Aptos" w:cs="Arial"/>
        </w:rPr>
        <w:t>:</w:t>
      </w:r>
      <w:proofErr w:type="gramEnd"/>
      <w:r w:rsidR="00801042" w:rsidRPr="00720A49">
        <w:rPr>
          <w:rFonts w:ascii="Aptos" w:hAnsi="Aptos" w:cs="Arial"/>
        </w:rPr>
        <w:t xml:space="preserve"> marginal replacement fuel costs, </w:t>
      </w:r>
      <w:r w:rsidR="00FF6A31" w:rsidRPr="00720A49">
        <w:rPr>
          <w:rFonts w:ascii="Aptos" w:hAnsi="Aptos" w:cs="Arial"/>
        </w:rPr>
        <w:t xml:space="preserve">variable operations </w:t>
      </w:r>
      <w:r w:rsidR="00801042" w:rsidRPr="00720A49">
        <w:rPr>
          <w:rFonts w:ascii="Aptos" w:hAnsi="Aptos" w:cs="Arial"/>
        </w:rPr>
        <w:t xml:space="preserve">and </w:t>
      </w:r>
      <w:r w:rsidR="00FF6A31" w:rsidRPr="00720A49">
        <w:rPr>
          <w:rFonts w:ascii="Aptos" w:hAnsi="Aptos" w:cs="Arial"/>
        </w:rPr>
        <w:t>maintenance</w:t>
      </w:r>
      <w:r w:rsidR="00801042" w:rsidRPr="00720A49">
        <w:rPr>
          <w:rFonts w:ascii="Aptos" w:hAnsi="Aptos" w:cs="Arial"/>
        </w:rPr>
        <w:t xml:space="preserve">, </w:t>
      </w:r>
      <w:r w:rsidR="00FF6A31" w:rsidRPr="00720A49">
        <w:rPr>
          <w:rFonts w:ascii="Aptos" w:hAnsi="Aptos" w:cs="Arial"/>
        </w:rPr>
        <w:t>fuel handling</w:t>
      </w:r>
      <w:r w:rsidR="00801042" w:rsidRPr="00720A49">
        <w:rPr>
          <w:rFonts w:ascii="Aptos" w:hAnsi="Aptos" w:cs="Arial"/>
        </w:rPr>
        <w:t xml:space="preserve">, </w:t>
      </w:r>
      <w:r w:rsidR="002008D7" w:rsidRPr="00720A49">
        <w:rPr>
          <w:rFonts w:ascii="Aptos" w:hAnsi="Aptos" w:cs="Arial"/>
        </w:rPr>
        <w:t xml:space="preserve">environmental </w:t>
      </w:r>
      <w:r w:rsidR="00801042" w:rsidRPr="00720A49">
        <w:rPr>
          <w:rFonts w:ascii="Aptos" w:hAnsi="Aptos" w:cs="Arial"/>
        </w:rPr>
        <w:t xml:space="preserve">compliance costs, intra-day </w:t>
      </w:r>
      <w:r w:rsidR="00A70955" w:rsidRPr="00720A49">
        <w:rPr>
          <w:rFonts w:ascii="Aptos" w:hAnsi="Aptos" w:cs="Arial"/>
        </w:rPr>
        <w:t>dispatch</w:t>
      </w:r>
      <w:r w:rsidR="00801042" w:rsidRPr="00720A49">
        <w:rPr>
          <w:rFonts w:ascii="Aptos" w:hAnsi="Aptos" w:cs="Arial"/>
        </w:rPr>
        <w:t xml:space="preserve"> costs, and transmission losses</w:t>
      </w:r>
      <w:r w:rsidR="00F655D6" w:rsidRPr="00720A49">
        <w:rPr>
          <w:rFonts w:ascii="Aptos" w:hAnsi="Aptos" w:cs="Arial"/>
        </w:rPr>
        <w:t xml:space="preserve"> associated with other resources</w:t>
      </w:r>
      <w:r w:rsidR="00801042" w:rsidRPr="00720A49">
        <w:rPr>
          <w:rFonts w:ascii="Aptos" w:hAnsi="Aptos" w:cs="Arial"/>
        </w:rPr>
        <w:t xml:space="preserve">. </w:t>
      </w:r>
    </w:p>
    <w:p w14:paraId="29ACB892" w14:textId="28D4F89C" w:rsidR="001064CD" w:rsidRPr="00720A49" w:rsidRDefault="009B5EF8" w:rsidP="00FF3E25">
      <w:pPr>
        <w:jc w:val="both"/>
        <w:rPr>
          <w:rFonts w:ascii="Aptos" w:hAnsi="Aptos" w:cs="Arial"/>
        </w:rPr>
      </w:pPr>
      <w:r w:rsidRPr="00720A49">
        <w:rPr>
          <w:rFonts w:ascii="Aptos" w:hAnsi="Aptos" w:cs="Arial"/>
        </w:rPr>
        <w:t xml:space="preserve">Because </w:t>
      </w:r>
      <w:r w:rsidR="00C53BE8" w:rsidRPr="00720A49">
        <w:rPr>
          <w:rFonts w:ascii="Aptos" w:hAnsi="Aptos" w:cs="Arial"/>
        </w:rPr>
        <w:t xml:space="preserve">many </w:t>
      </w:r>
      <w:r w:rsidR="001064CD" w:rsidRPr="00720A49">
        <w:rPr>
          <w:rFonts w:ascii="Aptos" w:hAnsi="Aptos" w:cs="Arial"/>
        </w:rPr>
        <w:t xml:space="preserve">renewable </w:t>
      </w:r>
      <w:r w:rsidR="00CB214E" w:rsidRPr="00720A49">
        <w:rPr>
          <w:rFonts w:ascii="Aptos" w:hAnsi="Aptos" w:cs="Arial"/>
        </w:rPr>
        <w:t>resources</w:t>
      </w:r>
      <w:r w:rsidR="001064CD" w:rsidRPr="00720A49">
        <w:rPr>
          <w:rFonts w:ascii="Aptos" w:hAnsi="Aptos" w:cs="Arial"/>
        </w:rPr>
        <w:t xml:space="preserve"> </w:t>
      </w:r>
      <w:r w:rsidR="001E02F8" w:rsidRPr="00720A49">
        <w:rPr>
          <w:rFonts w:ascii="Aptos" w:hAnsi="Aptos" w:cs="Arial"/>
        </w:rPr>
        <w:t>have limited dispatchability</w:t>
      </w:r>
      <w:r w:rsidR="00AF1459" w:rsidRPr="00720A49">
        <w:rPr>
          <w:rFonts w:ascii="Aptos" w:hAnsi="Aptos" w:cs="Arial"/>
        </w:rPr>
        <w:t>,</w:t>
      </w:r>
      <w:r w:rsidR="001E02F8" w:rsidRPr="00720A49">
        <w:rPr>
          <w:rFonts w:ascii="Aptos" w:hAnsi="Aptos" w:cs="Arial"/>
        </w:rPr>
        <w:t xml:space="preserve"> they can contribute to </w:t>
      </w:r>
      <w:r w:rsidR="004953AD" w:rsidRPr="00720A49">
        <w:rPr>
          <w:rFonts w:ascii="Aptos" w:hAnsi="Aptos" w:cs="Arial"/>
        </w:rPr>
        <w:t xml:space="preserve">overgeneration </w:t>
      </w:r>
      <w:r w:rsidRPr="00720A49">
        <w:rPr>
          <w:rFonts w:ascii="Aptos" w:hAnsi="Aptos" w:cs="Arial"/>
        </w:rPr>
        <w:t>when</w:t>
      </w:r>
      <w:r w:rsidR="001064CD" w:rsidRPr="00720A49">
        <w:rPr>
          <w:rFonts w:ascii="Aptos" w:hAnsi="Aptos" w:cs="Arial"/>
        </w:rPr>
        <w:t xml:space="preserve"> the renewable output exceeds system</w:t>
      </w:r>
      <w:r w:rsidRPr="00720A49">
        <w:rPr>
          <w:rFonts w:ascii="Aptos" w:hAnsi="Aptos" w:cs="Arial"/>
        </w:rPr>
        <w:t xml:space="preserve"> </w:t>
      </w:r>
      <w:r w:rsidR="004953AD" w:rsidRPr="00720A49">
        <w:rPr>
          <w:rFonts w:ascii="Aptos" w:hAnsi="Aptos" w:cs="Arial"/>
        </w:rPr>
        <w:t>demand</w:t>
      </w:r>
      <w:r w:rsidR="001064CD" w:rsidRPr="00720A49">
        <w:rPr>
          <w:rFonts w:ascii="Aptos" w:hAnsi="Aptos" w:cs="Arial"/>
        </w:rPr>
        <w:t xml:space="preserve">. </w:t>
      </w:r>
      <w:r w:rsidR="004953AD" w:rsidRPr="00720A49">
        <w:rPr>
          <w:rFonts w:ascii="Aptos" w:hAnsi="Aptos" w:cs="Arial"/>
        </w:rPr>
        <w:t xml:space="preserve">This could </w:t>
      </w:r>
      <w:r w:rsidRPr="00720A49">
        <w:rPr>
          <w:rFonts w:ascii="Aptos" w:hAnsi="Aptos" w:cs="Arial"/>
        </w:rPr>
        <w:t>result in</w:t>
      </w:r>
      <w:r w:rsidR="004953AD" w:rsidRPr="00720A49">
        <w:rPr>
          <w:rFonts w:ascii="Aptos" w:hAnsi="Aptos" w:cs="Arial"/>
        </w:rPr>
        <w:t xml:space="preserve"> curtailment of some renewable resource output. During periods of curtailment, there is no avoided energy cost for additional generation</w:t>
      </w:r>
      <w:r w:rsidR="00CB214E" w:rsidRPr="00720A49">
        <w:rPr>
          <w:rFonts w:ascii="Aptos" w:hAnsi="Aptos" w:cs="Arial"/>
        </w:rPr>
        <w:t>,</w:t>
      </w:r>
      <w:r w:rsidR="004953AD" w:rsidRPr="00720A49">
        <w:rPr>
          <w:rFonts w:ascii="Aptos" w:hAnsi="Aptos" w:cs="Arial"/>
        </w:rPr>
        <w:t xml:space="preserve"> and the Avoided Energy Cost</w:t>
      </w:r>
      <w:r w:rsidRPr="00720A49">
        <w:rPr>
          <w:rFonts w:ascii="Aptos" w:hAnsi="Aptos" w:cs="Arial"/>
        </w:rPr>
        <w:t>s</w:t>
      </w:r>
      <w:r w:rsidR="004953AD" w:rsidRPr="00720A49">
        <w:rPr>
          <w:rFonts w:ascii="Aptos" w:hAnsi="Aptos" w:cs="Arial"/>
        </w:rPr>
        <w:t xml:space="preserve"> value </w:t>
      </w:r>
      <w:r w:rsidRPr="00720A49">
        <w:rPr>
          <w:rFonts w:ascii="Aptos" w:hAnsi="Aptos" w:cs="Arial"/>
        </w:rPr>
        <w:t xml:space="preserve">will </w:t>
      </w:r>
      <w:r w:rsidR="004953AD" w:rsidRPr="00720A49">
        <w:rPr>
          <w:rFonts w:ascii="Aptos" w:hAnsi="Aptos" w:cs="Arial"/>
        </w:rPr>
        <w:t>be zero.</w:t>
      </w:r>
    </w:p>
    <w:p w14:paraId="5F21AF8C" w14:textId="28344EF4" w:rsidR="007029A9" w:rsidRPr="00720A49" w:rsidRDefault="004409B6" w:rsidP="00A6207E">
      <w:pPr>
        <w:spacing w:line="360" w:lineRule="auto"/>
        <w:jc w:val="both"/>
        <w:rPr>
          <w:rFonts w:ascii="Aptos" w:hAnsi="Aptos" w:cs="Arial"/>
        </w:rPr>
      </w:pPr>
      <w:r w:rsidRPr="00720A49">
        <w:rPr>
          <w:rFonts w:ascii="Aptos" w:hAnsi="Aptos" w:cs="Arial"/>
        </w:rPr>
        <w:t xml:space="preserve">Avoided </w:t>
      </w:r>
      <w:r w:rsidR="002207C4" w:rsidRPr="00720A49">
        <w:rPr>
          <w:rFonts w:ascii="Aptos" w:hAnsi="Aptos" w:cs="Arial"/>
        </w:rPr>
        <w:t xml:space="preserve">Energy Costs is </w:t>
      </w:r>
      <w:r w:rsidRPr="00720A49">
        <w:rPr>
          <w:rFonts w:ascii="Aptos" w:hAnsi="Aptos" w:cs="Arial"/>
        </w:rPr>
        <w:t xml:space="preserve">a </w:t>
      </w:r>
      <w:r w:rsidRPr="00720A49">
        <w:rPr>
          <w:rFonts w:ascii="Aptos" w:hAnsi="Aptos" w:cs="Arial"/>
          <w:b/>
          <w:i/>
        </w:rPr>
        <w:t xml:space="preserve">benefit </w:t>
      </w:r>
      <w:r w:rsidRPr="00720A49">
        <w:rPr>
          <w:rFonts w:ascii="Aptos" w:hAnsi="Aptos" w:cs="Arial"/>
        </w:rPr>
        <w:t>in the</w:t>
      </w:r>
      <w:r w:rsidR="002374DB" w:rsidRPr="00720A49">
        <w:rPr>
          <w:rFonts w:ascii="Aptos" w:hAnsi="Aptos" w:cs="Arial"/>
        </w:rPr>
        <w:t xml:space="preserve"> RCB</w:t>
      </w:r>
      <w:r w:rsidRPr="00720A49">
        <w:rPr>
          <w:rFonts w:ascii="Aptos" w:hAnsi="Aptos" w:cs="Arial"/>
        </w:rPr>
        <w:t xml:space="preserve"> Framework</w:t>
      </w:r>
      <w:r w:rsidR="00C512A6" w:rsidRPr="00720A49">
        <w:rPr>
          <w:rFonts w:ascii="Aptos" w:hAnsi="Aptos" w:cs="Arial"/>
        </w:rPr>
        <w:t>.</w:t>
      </w:r>
      <w:r w:rsidR="001064CD" w:rsidRPr="00720A49">
        <w:rPr>
          <w:rFonts w:ascii="Aptos" w:hAnsi="Aptos" w:cs="Arial"/>
        </w:rPr>
        <w:t xml:space="preserve"> </w:t>
      </w:r>
    </w:p>
    <w:p w14:paraId="20AFAA2F" w14:textId="742C3015" w:rsidR="0003394F" w:rsidRPr="00720A49" w:rsidRDefault="0003394F" w:rsidP="00A6207E">
      <w:pPr>
        <w:pStyle w:val="Heading3"/>
        <w:spacing w:before="0" w:beforeAutospacing="0"/>
        <w:rPr>
          <w:rFonts w:ascii="Aptos" w:hAnsi="Aptos"/>
        </w:rPr>
      </w:pPr>
      <w:bookmarkStart w:id="15" w:name="_Hlk83715647"/>
      <w:r w:rsidRPr="00720A49">
        <w:rPr>
          <w:rFonts w:ascii="Aptos" w:hAnsi="Aptos"/>
        </w:rPr>
        <w:t>Deferred Generation Capacity Cost</w:t>
      </w:r>
      <w:r w:rsidR="002207C4" w:rsidRPr="00720A49">
        <w:rPr>
          <w:rFonts w:ascii="Aptos" w:hAnsi="Aptos"/>
        </w:rPr>
        <w:t>s</w:t>
      </w:r>
    </w:p>
    <w:bookmarkEnd w:id="15"/>
    <w:p w14:paraId="3AC0D5CB" w14:textId="507A940D" w:rsidR="004A727D" w:rsidRPr="00720A49" w:rsidRDefault="002207C4" w:rsidP="00FF3E25">
      <w:pPr>
        <w:jc w:val="both"/>
        <w:rPr>
          <w:rFonts w:ascii="Aptos" w:hAnsi="Aptos" w:cs="Arial"/>
        </w:rPr>
      </w:pPr>
      <w:r w:rsidRPr="00720A49">
        <w:rPr>
          <w:rFonts w:ascii="Aptos" w:hAnsi="Aptos" w:cs="Arial"/>
        </w:rPr>
        <w:t>R</w:t>
      </w:r>
      <w:r w:rsidR="004953AD" w:rsidRPr="00720A49">
        <w:rPr>
          <w:rFonts w:ascii="Aptos" w:hAnsi="Aptos" w:cs="Arial"/>
        </w:rPr>
        <w:t>enewable resources contribute to the reliability of the electric system</w:t>
      </w:r>
      <w:r w:rsidR="00CB214E" w:rsidRPr="00720A49">
        <w:rPr>
          <w:rFonts w:ascii="Aptos" w:hAnsi="Aptos" w:cs="Arial"/>
        </w:rPr>
        <w:t>,</w:t>
      </w:r>
      <w:r w:rsidR="004953AD" w:rsidRPr="00720A49">
        <w:rPr>
          <w:rFonts w:ascii="Aptos" w:hAnsi="Aptos" w:cs="Arial"/>
        </w:rPr>
        <w:t xml:space="preserve"> which in turn defers the need for other capacity resources. </w:t>
      </w:r>
      <w:r w:rsidRPr="00720A49">
        <w:rPr>
          <w:rFonts w:ascii="Aptos" w:hAnsi="Aptos" w:cs="Arial"/>
        </w:rPr>
        <w:t xml:space="preserve">The </w:t>
      </w:r>
      <w:r w:rsidR="004953AD" w:rsidRPr="00720A49">
        <w:rPr>
          <w:rFonts w:ascii="Aptos" w:hAnsi="Aptos" w:cs="Arial"/>
        </w:rPr>
        <w:t xml:space="preserve">Integrated Resource Planning process establishes the level of capacity </w:t>
      </w:r>
      <w:r w:rsidRPr="00720A49">
        <w:rPr>
          <w:rFonts w:ascii="Aptos" w:hAnsi="Aptos" w:cs="Arial"/>
        </w:rPr>
        <w:t>required</w:t>
      </w:r>
      <w:r w:rsidR="004953AD" w:rsidRPr="00720A49">
        <w:rPr>
          <w:rFonts w:ascii="Aptos" w:hAnsi="Aptos" w:cs="Arial"/>
        </w:rPr>
        <w:t xml:space="preserve"> </w:t>
      </w:r>
      <w:r w:rsidR="00CB214E" w:rsidRPr="00720A49">
        <w:rPr>
          <w:rFonts w:ascii="Aptos" w:hAnsi="Aptos" w:cs="Arial"/>
        </w:rPr>
        <w:t>to serve customer demand reliably</w:t>
      </w:r>
      <w:r w:rsidR="004953AD" w:rsidRPr="00720A49">
        <w:rPr>
          <w:rFonts w:ascii="Aptos" w:hAnsi="Aptos" w:cs="Arial"/>
        </w:rPr>
        <w:t xml:space="preserve">. </w:t>
      </w:r>
      <w:r w:rsidRPr="00720A49">
        <w:rPr>
          <w:rFonts w:ascii="Aptos" w:hAnsi="Aptos" w:cs="Arial"/>
        </w:rPr>
        <w:t>T</w:t>
      </w:r>
      <w:r w:rsidR="004953AD" w:rsidRPr="00720A49">
        <w:rPr>
          <w:rFonts w:ascii="Aptos" w:hAnsi="Aptos" w:cs="Arial"/>
        </w:rPr>
        <w:t xml:space="preserve">he operating characteristics of </w:t>
      </w:r>
      <w:r w:rsidRPr="00720A49">
        <w:rPr>
          <w:rFonts w:ascii="Aptos" w:hAnsi="Aptos" w:cs="Arial"/>
        </w:rPr>
        <w:t xml:space="preserve">some </w:t>
      </w:r>
      <w:r w:rsidR="004953AD" w:rsidRPr="00720A49">
        <w:rPr>
          <w:rFonts w:ascii="Aptos" w:hAnsi="Aptos" w:cs="Arial"/>
        </w:rPr>
        <w:t>renewable resources</w:t>
      </w:r>
      <w:r w:rsidRPr="00720A49">
        <w:rPr>
          <w:rFonts w:ascii="Aptos" w:hAnsi="Aptos" w:cs="Arial"/>
        </w:rPr>
        <w:t xml:space="preserve"> could limit</w:t>
      </w:r>
      <w:r w:rsidR="004953AD" w:rsidRPr="00720A49">
        <w:rPr>
          <w:rFonts w:ascii="Aptos" w:hAnsi="Aptos" w:cs="Arial"/>
        </w:rPr>
        <w:t xml:space="preserve"> </w:t>
      </w:r>
      <w:r w:rsidRPr="00720A49">
        <w:rPr>
          <w:rFonts w:ascii="Aptos" w:hAnsi="Aptos" w:cs="Arial"/>
        </w:rPr>
        <w:t>their</w:t>
      </w:r>
      <w:r w:rsidR="004953AD" w:rsidRPr="00720A49">
        <w:rPr>
          <w:rFonts w:ascii="Aptos" w:hAnsi="Aptos" w:cs="Arial"/>
        </w:rPr>
        <w:t xml:space="preserve"> contribution to capacity requirements. The renewable resource </w:t>
      </w:r>
      <w:r w:rsidRPr="00720A49">
        <w:rPr>
          <w:rFonts w:ascii="Aptos" w:hAnsi="Aptos" w:cs="Arial"/>
        </w:rPr>
        <w:t>contribution to</w:t>
      </w:r>
      <w:r w:rsidR="004953AD" w:rsidRPr="00720A49">
        <w:rPr>
          <w:rFonts w:ascii="Aptos" w:hAnsi="Aptos" w:cs="Arial"/>
        </w:rPr>
        <w:t xml:space="preserve"> the capacity requirement is </w:t>
      </w:r>
      <w:r w:rsidRPr="00720A49">
        <w:rPr>
          <w:rFonts w:ascii="Aptos" w:hAnsi="Aptos" w:cs="Arial"/>
        </w:rPr>
        <w:t>called</w:t>
      </w:r>
      <w:r w:rsidR="004953AD" w:rsidRPr="00720A49">
        <w:rPr>
          <w:rFonts w:ascii="Aptos" w:hAnsi="Aptos" w:cs="Arial"/>
        </w:rPr>
        <w:t xml:space="preserve"> the Effective Load Carrying Capability (</w:t>
      </w:r>
      <w:r w:rsidR="007E04C2" w:rsidRPr="00720A49">
        <w:rPr>
          <w:rFonts w:ascii="Aptos" w:hAnsi="Aptos" w:cs="Arial"/>
        </w:rPr>
        <w:t>“</w:t>
      </w:r>
      <w:r w:rsidR="004953AD" w:rsidRPr="00720A49">
        <w:rPr>
          <w:rFonts w:ascii="Aptos" w:hAnsi="Aptos" w:cs="Arial"/>
        </w:rPr>
        <w:t>ELCC</w:t>
      </w:r>
      <w:r w:rsidR="007E04C2" w:rsidRPr="00720A49">
        <w:rPr>
          <w:rFonts w:ascii="Aptos" w:hAnsi="Aptos" w:cs="Arial"/>
        </w:rPr>
        <w:t>”</w:t>
      </w:r>
      <w:r w:rsidR="004953AD" w:rsidRPr="00720A49">
        <w:rPr>
          <w:rFonts w:ascii="Aptos" w:hAnsi="Aptos" w:cs="Arial"/>
        </w:rPr>
        <w:t xml:space="preserve">). The ELCC determines how much other generation capacity can be deferred by the renewable resource. </w:t>
      </w:r>
      <w:r w:rsidRPr="00720A49">
        <w:rPr>
          <w:rFonts w:ascii="Aptos" w:hAnsi="Aptos" w:cs="Arial"/>
        </w:rPr>
        <w:t>R</w:t>
      </w:r>
      <w:r w:rsidR="004953AD" w:rsidRPr="00720A49">
        <w:rPr>
          <w:rFonts w:ascii="Aptos" w:hAnsi="Aptos" w:cs="Arial"/>
        </w:rPr>
        <w:t>enewable resources only contribute to capacity requirements if the resource has an established obligation to perform</w:t>
      </w:r>
      <w:r w:rsidR="00CB214E" w:rsidRPr="00720A49">
        <w:rPr>
          <w:rFonts w:ascii="Aptos" w:hAnsi="Aptos" w:cs="Arial"/>
        </w:rPr>
        <w:t>,</w:t>
      </w:r>
      <w:r w:rsidR="004953AD" w:rsidRPr="00720A49">
        <w:rPr>
          <w:rFonts w:ascii="Aptos" w:hAnsi="Aptos" w:cs="Arial"/>
        </w:rPr>
        <w:t xml:space="preserve"> such as a regulatory certification or executed contract</w:t>
      </w:r>
      <w:r w:rsidR="00CF1739" w:rsidRPr="00720A49">
        <w:rPr>
          <w:rFonts w:ascii="Aptos" w:hAnsi="Aptos" w:cs="Arial"/>
        </w:rPr>
        <w:t xml:space="preserve"> with performance requirements and associated liquidated damages</w:t>
      </w:r>
      <w:r w:rsidR="00D803A8" w:rsidRPr="00720A49">
        <w:rPr>
          <w:rFonts w:ascii="Aptos" w:hAnsi="Aptos" w:cs="Arial"/>
        </w:rPr>
        <w:t xml:space="preserve"> for non-performance</w:t>
      </w:r>
      <w:r w:rsidR="004953AD" w:rsidRPr="00720A49">
        <w:rPr>
          <w:rFonts w:ascii="Aptos" w:hAnsi="Aptos" w:cs="Arial"/>
        </w:rPr>
        <w:t>.</w:t>
      </w:r>
      <w:r w:rsidR="00455159" w:rsidRPr="00720A49">
        <w:rPr>
          <w:rFonts w:ascii="Aptos" w:hAnsi="Aptos" w:cs="Arial"/>
        </w:rPr>
        <w:t xml:space="preserve"> </w:t>
      </w:r>
    </w:p>
    <w:p w14:paraId="4DAE9CB5" w14:textId="67CBB293" w:rsidR="0003394F" w:rsidRPr="00720A49" w:rsidRDefault="00AE79DB" w:rsidP="00FF3E25">
      <w:pPr>
        <w:jc w:val="both"/>
        <w:rPr>
          <w:rFonts w:ascii="Aptos" w:hAnsi="Aptos" w:cs="Arial"/>
        </w:rPr>
      </w:pPr>
      <w:r w:rsidRPr="00720A49">
        <w:rPr>
          <w:rFonts w:ascii="Aptos" w:hAnsi="Aptos" w:cs="Arial"/>
        </w:rPr>
        <w:t xml:space="preserve">Considering the appropriate ELCC, </w:t>
      </w:r>
      <w:r w:rsidR="0003394F" w:rsidRPr="00720A49">
        <w:rPr>
          <w:rFonts w:ascii="Aptos" w:hAnsi="Aptos" w:cs="Arial"/>
        </w:rPr>
        <w:t xml:space="preserve">Deferred </w:t>
      </w:r>
      <w:r w:rsidR="00B1332B" w:rsidRPr="00720A49">
        <w:rPr>
          <w:rFonts w:ascii="Aptos" w:hAnsi="Aptos" w:cs="Arial"/>
        </w:rPr>
        <w:t>Generation Capacity Costs</w:t>
      </w:r>
      <w:r w:rsidR="006D4950" w:rsidRPr="00720A49">
        <w:rPr>
          <w:rFonts w:ascii="Aptos" w:hAnsi="Aptos" w:cs="Arial"/>
        </w:rPr>
        <w:t xml:space="preserve"> is reflected as </w:t>
      </w:r>
      <w:r w:rsidR="0003394F" w:rsidRPr="00720A49">
        <w:rPr>
          <w:rFonts w:ascii="Aptos" w:hAnsi="Aptos" w:cs="Arial"/>
        </w:rPr>
        <w:t xml:space="preserve">a </w:t>
      </w:r>
      <w:r w:rsidR="0003394F" w:rsidRPr="00720A49">
        <w:rPr>
          <w:rFonts w:ascii="Aptos" w:hAnsi="Aptos" w:cs="Arial"/>
          <w:b/>
          <w:i/>
        </w:rPr>
        <w:t>benefit</w:t>
      </w:r>
      <w:r w:rsidR="0003394F" w:rsidRPr="00720A49">
        <w:rPr>
          <w:rFonts w:ascii="Aptos" w:hAnsi="Aptos" w:cs="Arial"/>
        </w:rPr>
        <w:t xml:space="preserve"> in the </w:t>
      </w:r>
      <w:r w:rsidR="006D4950" w:rsidRPr="00720A49">
        <w:rPr>
          <w:rFonts w:ascii="Aptos" w:hAnsi="Aptos" w:cs="Arial"/>
        </w:rPr>
        <w:t xml:space="preserve">RCB </w:t>
      </w:r>
      <w:r w:rsidR="0003394F" w:rsidRPr="00720A49">
        <w:rPr>
          <w:rFonts w:ascii="Aptos" w:hAnsi="Aptos" w:cs="Arial"/>
        </w:rPr>
        <w:t>Framework</w:t>
      </w:r>
      <w:r w:rsidR="00625F55" w:rsidRPr="00720A49">
        <w:rPr>
          <w:rFonts w:ascii="Aptos" w:hAnsi="Aptos" w:cs="Arial"/>
        </w:rPr>
        <w:t>.</w:t>
      </w:r>
      <w:r w:rsidR="0003394F" w:rsidRPr="00720A49">
        <w:rPr>
          <w:rFonts w:ascii="Aptos" w:hAnsi="Aptos" w:cs="Arial"/>
        </w:rPr>
        <w:t xml:space="preserve"> </w:t>
      </w:r>
    </w:p>
    <w:p w14:paraId="4AFA9E4F" w14:textId="77777777" w:rsidR="004D31A4" w:rsidRPr="00720A49" w:rsidRDefault="004D31A4" w:rsidP="004D31A4">
      <w:pPr>
        <w:pStyle w:val="Heading3"/>
        <w:rPr>
          <w:rFonts w:ascii="Aptos" w:hAnsi="Aptos"/>
        </w:rPr>
      </w:pPr>
      <w:bookmarkStart w:id="16" w:name="_Hlk83715663"/>
      <w:bookmarkStart w:id="17" w:name="_Hlk82770710"/>
      <w:r w:rsidRPr="00720A49">
        <w:rPr>
          <w:rFonts w:ascii="Aptos" w:hAnsi="Aptos"/>
        </w:rPr>
        <w:t xml:space="preserve">Avoided Transmission Losses </w:t>
      </w:r>
    </w:p>
    <w:p w14:paraId="0B98253A" w14:textId="753B44B1" w:rsidR="004D31A4" w:rsidRPr="00720A49" w:rsidRDefault="004D31A4" w:rsidP="00FF3E25">
      <w:pPr>
        <w:jc w:val="both"/>
        <w:rPr>
          <w:rFonts w:ascii="Aptos" w:hAnsi="Aptos" w:cs="Arial"/>
        </w:rPr>
      </w:pPr>
      <w:r w:rsidRPr="00720A49">
        <w:rPr>
          <w:rFonts w:ascii="Aptos" w:hAnsi="Aptos" w:cs="Arial"/>
        </w:rPr>
        <w:t xml:space="preserve">Some renewable resources, such as those connected to the distribution system and intended to serve local load, do not use the bulk transmission system. These resources avoid the energy losses associated with moving energy across the transmission system. </w:t>
      </w:r>
    </w:p>
    <w:p w14:paraId="66D8E474" w14:textId="77777777" w:rsidR="004D31A4" w:rsidRPr="00720A49" w:rsidRDefault="004D31A4" w:rsidP="00FF3E25">
      <w:pPr>
        <w:jc w:val="both"/>
        <w:rPr>
          <w:rFonts w:ascii="Aptos" w:hAnsi="Aptos" w:cs="Arial"/>
        </w:rPr>
      </w:pPr>
      <w:r w:rsidRPr="00720A49">
        <w:rPr>
          <w:rFonts w:ascii="Aptos" w:hAnsi="Aptos" w:cs="Arial"/>
        </w:rPr>
        <w:t xml:space="preserve">Avoided Transmission Losses is reflected as a </w:t>
      </w:r>
      <w:r w:rsidRPr="00720A49">
        <w:rPr>
          <w:rFonts w:ascii="Aptos" w:hAnsi="Aptos" w:cs="Arial"/>
          <w:b/>
          <w:bCs/>
          <w:i/>
          <w:iCs/>
        </w:rPr>
        <w:t>benefit</w:t>
      </w:r>
      <w:r w:rsidRPr="00720A49">
        <w:rPr>
          <w:rFonts w:ascii="Aptos" w:hAnsi="Aptos" w:cs="Arial"/>
        </w:rPr>
        <w:t xml:space="preserve"> in the RCB Framework for applicable DG resources.</w:t>
      </w:r>
    </w:p>
    <w:p w14:paraId="1A04E625" w14:textId="06132CB2" w:rsidR="0003394F" w:rsidRPr="00720A49" w:rsidRDefault="00137F37" w:rsidP="00935E4F">
      <w:pPr>
        <w:pStyle w:val="Heading3"/>
        <w:rPr>
          <w:rFonts w:ascii="Aptos" w:hAnsi="Aptos"/>
        </w:rPr>
      </w:pPr>
      <w:r w:rsidRPr="00720A49">
        <w:rPr>
          <w:rFonts w:ascii="Aptos" w:hAnsi="Aptos"/>
        </w:rPr>
        <w:lastRenderedPageBreak/>
        <w:t>Locational</w:t>
      </w:r>
      <w:r w:rsidR="0003394F" w:rsidRPr="00720A49">
        <w:rPr>
          <w:rFonts w:ascii="Aptos" w:hAnsi="Aptos"/>
        </w:rPr>
        <w:t xml:space="preserve"> Transmission</w:t>
      </w:r>
      <w:r w:rsidRPr="00720A49">
        <w:rPr>
          <w:rFonts w:ascii="Aptos" w:hAnsi="Aptos"/>
        </w:rPr>
        <w:t xml:space="preserve"> Value</w:t>
      </w:r>
      <w:r w:rsidR="0003394F" w:rsidRPr="00720A49">
        <w:rPr>
          <w:rFonts w:ascii="Aptos" w:hAnsi="Aptos"/>
        </w:rPr>
        <w:t xml:space="preserve"> </w:t>
      </w:r>
    </w:p>
    <w:bookmarkEnd w:id="16"/>
    <w:p w14:paraId="371C9A95" w14:textId="28A66C2D" w:rsidR="006D4950" w:rsidRPr="00720A49" w:rsidRDefault="006D4950" w:rsidP="00FF3E25">
      <w:pPr>
        <w:jc w:val="both"/>
        <w:rPr>
          <w:rFonts w:ascii="Aptos" w:hAnsi="Aptos" w:cs="Arial"/>
        </w:rPr>
      </w:pPr>
      <w:r w:rsidRPr="00720A49">
        <w:rPr>
          <w:rFonts w:ascii="Aptos" w:hAnsi="Aptos" w:cs="Arial"/>
        </w:rPr>
        <w:t xml:space="preserve">Some renewable resources, such as those connected to the distribution system and intended to serve local load, do not </w:t>
      </w:r>
      <w:r w:rsidR="002207C4" w:rsidRPr="00720A49">
        <w:rPr>
          <w:rFonts w:ascii="Aptos" w:hAnsi="Aptos" w:cs="Arial"/>
        </w:rPr>
        <w:t xml:space="preserve">use </w:t>
      </w:r>
      <w:r w:rsidRPr="00720A49">
        <w:rPr>
          <w:rFonts w:ascii="Aptos" w:hAnsi="Aptos" w:cs="Arial"/>
        </w:rPr>
        <w:t>the bulk transmission system. These resource</w:t>
      </w:r>
      <w:r w:rsidR="000A41E4" w:rsidRPr="00720A49">
        <w:rPr>
          <w:rFonts w:ascii="Aptos" w:hAnsi="Aptos" w:cs="Arial"/>
        </w:rPr>
        <w:t>s</w:t>
      </w:r>
      <w:r w:rsidRPr="00720A49">
        <w:rPr>
          <w:rFonts w:ascii="Aptos" w:hAnsi="Aptos" w:cs="Arial"/>
        </w:rPr>
        <w:t xml:space="preserve"> </w:t>
      </w:r>
      <w:r w:rsidR="002207C4" w:rsidRPr="00720A49">
        <w:rPr>
          <w:rFonts w:ascii="Aptos" w:hAnsi="Aptos" w:cs="Arial"/>
        </w:rPr>
        <w:t>c</w:t>
      </w:r>
      <w:r w:rsidR="00137F37" w:rsidRPr="00720A49">
        <w:rPr>
          <w:rFonts w:ascii="Aptos" w:hAnsi="Aptos" w:cs="Arial"/>
        </w:rPr>
        <w:t>an</w:t>
      </w:r>
      <w:r w:rsidR="002207C4" w:rsidRPr="00720A49">
        <w:rPr>
          <w:rFonts w:ascii="Aptos" w:hAnsi="Aptos" w:cs="Arial"/>
        </w:rPr>
        <w:t xml:space="preserve"> </w:t>
      </w:r>
      <w:r w:rsidRPr="00720A49">
        <w:rPr>
          <w:rFonts w:ascii="Aptos" w:hAnsi="Aptos" w:cs="Arial"/>
        </w:rPr>
        <w:t>reduce the demand placed on the transmission system and defer or avoid otherwise needed transmission investments</w:t>
      </w:r>
      <w:r w:rsidR="002207C4" w:rsidRPr="00720A49">
        <w:rPr>
          <w:rFonts w:ascii="Aptos" w:hAnsi="Aptos" w:cs="Arial"/>
        </w:rPr>
        <w:t xml:space="preserve">, depending </w:t>
      </w:r>
      <w:r w:rsidRPr="00720A49">
        <w:rPr>
          <w:rFonts w:ascii="Aptos" w:hAnsi="Aptos" w:cs="Arial"/>
        </w:rPr>
        <w:t xml:space="preserve">on the current and future state of the transmission system </w:t>
      </w:r>
      <w:r w:rsidR="00896DB6" w:rsidRPr="00720A49">
        <w:rPr>
          <w:rFonts w:ascii="Aptos" w:hAnsi="Aptos" w:cs="Arial"/>
        </w:rPr>
        <w:t xml:space="preserve">and </w:t>
      </w:r>
      <w:r w:rsidRPr="00720A49">
        <w:rPr>
          <w:rFonts w:ascii="Aptos" w:hAnsi="Aptos" w:cs="Arial"/>
        </w:rPr>
        <w:t>the location of the renewable resources.</w:t>
      </w:r>
      <w:r w:rsidR="00633050" w:rsidRPr="00720A49">
        <w:rPr>
          <w:rFonts w:ascii="Aptos" w:hAnsi="Aptos" w:cs="Arial"/>
        </w:rPr>
        <w:t xml:space="preserve"> Alternatively, these resources can alter power flow on the bulk transmission system in a way that leads to an increased need in certain transmission investments. </w:t>
      </w:r>
      <w:r w:rsidRPr="00720A49">
        <w:rPr>
          <w:rFonts w:ascii="Aptos" w:hAnsi="Aptos" w:cs="Arial"/>
        </w:rPr>
        <w:t xml:space="preserve"> As with deferred generation capacity, the renewable resource must have an established obligation to perform </w:t>
      </w:r>
      <w:proofErr w:type="gramStart"/>
      <w:r w:rsidRPr="00720A49">
        <w:rPr>
          <w:rFonts w:ascii="Aptos" w:hAnsi="Aptos" w:cs="Arial"/>
        </w:rPr>
        <w:t>in order to</w:t>
      </w:r>
      <w:proofErr w:type="gramEnd"/>
      <w:r w:rsidRPr="00720A49">
        <w:rPr>
          <w:rFonts w:ascii="Aptos" w:hAnsi="Aptos" w:cs="Arial"/>
        </w:rPr>
        <w:t xml:space="preserve"> defer or avoid transmission investments without compromising system reliability.</w:t>
      </w:r>
    </w:p>
    <w:p w14:paraId="5F630E95" w14:textId="0AA6CC70" w:rsidR="006D4950" w:rsidRPr="00720A49" w:rsidRDefault="00137F37" w:rsidP="00FF3E25">
      <w:pPr>
        <w:jc w:val="both"/>
        <w:rPr>
          <w:rFonts w:ascii="Aptos" w:hAnsi="Aptos" w:cs="Arial"/>
        </w:rPr>
      </w:pPr>
      <w:r w:rsidRPr="00720A49">
        <w:rPr>
          <w:rFonts w:ascii="Aptos" w:hAnsi="Aptos" w:cs="Arial"/>
        </w:rPr>
        <w:t>Location</w:t>
      </w:r>
      <w:r w:rsidR="007E04C2" w:rsidRPr="00720A49">
        <w:rPr>
          <w:rFonts w:ascii="Aptos" w:hAnsi="Aptos" w:cs="Arial"/>
        </w:rPr>
        <w:t>al</w:t>
      </w:r>
      <w:r w:rsidR="006D4950" w:rsidRPr="00720A49">
        <w:rPr>
          <w:rFonts w:ascii="Aptos" w:hAnsi="Aptos" w:cs="Arial"/>
        </w:rPr>
        <w:t xml:space="preserve"> Transmission</w:t>
      </w:r>
      <w:r w:rsidRPr="00720A49">
        <w:rPr>
          <w:rFonts w:ascii="Aptos" w:hAnsi="Aptos" w:cs="Arial"/>
        </w:rPr>
        <w:t xml:space="preserve"> Value</w:t>
      </w:r>
      <w:r w:rsidR="006D4950" w:rsidRPr="00720A49">
        <w:rPr>
          <w:rFonts w:ascii="Aptos" w:hAnsi="Aptos" w:cs="Arial"/>
        </w:rPr>
        <w:t xml:space="preserve"> is reflected as a </w:t>
      </w:r>
      <w:r w:rsidR="006D4950" w:rsidRPr="00720A49">
        <w:rPr>
          <w:rStyle w:val="Emphasis"/>
          <w:rFonts w:ascii="Aptos" w:hAnsi="Aptos" w:cs="Arial"/>
          <w:b/>
          <w:bCs/>
          <w:color w:val="0E101A"/>
        </w:rPr>
        <w:t>benefit</w:t>
      </w:r>
      <w:r w:rsidR="00633050" w:rsidRPr="00720A49">
        <w:rPr>
          <w:rStyle w:val="Emphasis"/>
          <w:rFonts w:ascii="Aptos" w:hAnsi="Aptos" w:cs="Arial"/>
          <w:b/>
          <w:bCs/>
          <w:color w:val="0E101A"/>
        </w:rPr>
        <w:t xml:space="preserve"> or cost</w:t>
      </w:r>
      <w:r w:rsidR="006D4950" w:rsidRPr="00720A49">
        <w:rPr>
          <w:rFonts w:ascii="Aptos" w:hAnsi="Aptos" w:cs="Arial"/>
        </w:rPr>
        <w:t> in the RCB Framework for applicable DG resources</w:t>
      </w:r>
      <w:r w:rsidR="00633050" w:rsidRPr="00720A49">
        <w:rPr>
          <w:rFonts w:ascii="Aptos" w:hAnsi="Aptos" w:cs="Arial"/>
        </w:rPr>
        <w:t xml:space="preserve"> dependent on the resource location</w:t>
      </w:r>
      <w:r w:rsidR="006D4950" w:rsidRPr="00720A49">
        <w:rPr>
          <w:rFonts w:ascii="Aptos" w:hAnsi="Aptos" w:cs="Arial"/>
        </w:rPr>
        <w:t xml:space="preserve">. </w:t>
      </w:r>
    </w:p>
    <w:p w14:paraId="7659E4A4" w14:textId="393EF72C" w:rsidR="0003394F" w:rsidRPr="00720A49" w:rsidRDefault="00177347" w:rsidP="004922EC">
      <w:pPr>
        <w:pStyle w:val="Heading3"/>
        <w:rPr>
          <w:rFonts w:ascii="Aptos" w:hAnsi="Aptos"/>
        </w:rPr>
      </w:pPr>
      <w:bookmarkStart w:id="18" w:name="_Hlk83715683"/>
      <w:bookmarkStart w:id="19" w:name="_Hlk531876630"/>
      <w:bookmarkEnd w:id="17"/>
      <w:r w:rsidRPr="00720A49">
        <w:rPr>
          <w:rFonts w:ascii="Aptos" w:hAnsi="Aptos"/>
        </w:rPr>
        <w:t xml:space="preserve">Avoided </w:t>
      </w:r>
      <w:r w:rsidR="0003394F" w:rsidRPr="00720A49">
        <w:rPr>
          <w:rFonts w:ascii="Aptos" w:hAnsi="Aptos"/>
        </w:rPr>
        <w:t>Distribution Losses</w:t>
      </w:r>
    </w:p>
    <w:bookmarkEnd w:id="18"/>
    <w:p w14:paraId="0BE628B3" w14:textId="66952602" w:rsidR="00EA499B" w:rsidRPr="00720A49" w:rsidRDefault="00EA499B" w:rsidP="00FF3E25">
      <w:pPr>
        <w:jc w:val="both"/>
        <w:rPr>
          <w:rFonts w:ascii="Aptos" w:hAnsi="Aptos" w:cs="Arial"/>
        </w:rPr>
      </w:pPr>
      <w:r w:rsidRPr="00720A49">
        <w:rPr>
          <w:rFonts w:ascii="Aptos" w:hAnsi="Aptos" w:cs="Arial"/>
        </w:rPr>
        <w:t xml:space="preserve">Some renewable resources, such as those connected at the customer site and intended to serve local load, do not fully </w:t>
      </w:r>
      <w:r w:rsidR="002207C4" w:rsidRPr="00720A49">
        <w:rPr>
          <w:rFonts w:ascii="Aptos" w:hAnsi="Aptos" w:cs="Arial"/>
        </w:rPr>
        <w:t xml:space="preserve">use </w:t>
      </w:r>
      <w:r w:rsidRPr="00720A49">
        <w:rPr>
          <w:rFonts w:ascii="Aptos" w:hAnsi="Aptos" w:cs="Arial"/>
        </w:rPr>
        <w:t xml:space="preserve">the local distribution system. The </w:t>
      </w:r>
      <w:r w:rsidR="004922EC" w:rsidRPr="00720A49">
        <w:rPr>
          <w:rFonts w:ascii="Aptos" w:hAnsi="Aptos" w:cs="Arial"/>
        </w:rPr>
        <w:t>amount of impact on the system</w:t>
      </w:r>
      <w:r w:rsidR="00896DB6" w:rsidRPr="00720A49">
        <w:rPr>
          <w:rFonts w:ascii="Aptos" w:hAnsi="Aptos" w:cs="Arial"/>
        </w:rPr>
        <w:t xml:space="preserve"> is</w:t>
      </w:r>
      <w:r w:rsidRPr="00720A49">
        <w:rPr>
          <w:rFonts w:ascii="Aptos" w:hAnsi="Aptos" w:cs="Arial"/>
        </w:rPr>
        <w:t xml:space="preserve"> dependent on where the resource is located on a specific distribution circuit.</w:t>
      </w:r>
    </w:p>
    <w:p w14:paraId="17B40152" w14:textId="5CDC193B" w:rsidR="00EA499B" w:rsidRPr="00720A49" w:rsidRDefault="00EA499B" w:rsidP="00FF3E25">
      <w:pPr>
        <w:jc w:val="both"/>
        <w:rPr>
          <w:rFonts w:ascii="Aptos" w:hAnsi="Aptos" w:cs="Arial"/>
        </w:rPr>
      </w:pPr>
      <w:r w:rsidRPr="00720A49">
        <w:rPr>
          <w:rFonts w:ascii="Aptos" w:hAnsi="Aptos" w:cs="Arial"/>
        </w:rPr>
        <w:t xml:space="preserve">Avoided Distribution Losses </w:t>
      </w:r>
      <w:r w:rsidR="004922EC" w:rsidRPr="00720A49">
        <w:rPr>
          <w:rFonts w:ascii="Aptos" w:hAnsi="Aptos" w:cs="Arial"/>
        </w:rPr>
        <w:t xml:space="preserve">is </w:t>
      </w:r>
      <w:r w:rsidRPr="00720A49">
        <w:rPr>
          <w:rFonts w:ascii="Aptos" w:hAnsi="Aptos" w:cs="Arial"/>
        </w:rPr>
        <w:t xml:space="preserve">reflected as a </w:t>
      </w:r>
      <w:r w:rsidRPr="00720A49">
        <w:rPr>
          <w:rFonts w:ascii="Aptos" w:hAnsi="Aptos" w:cs="Arial"/>
          <w:b/>
          <w:i/>
        </w:rPr>
        <w:t>benefit</w:t>
      </w:r>
      <w:r w:rsidRPr="00720A49">
        <w:rPr>
          <w:rFonts w:ascii="Aptos" w:hAnsi="Aptos" w:cs="Arial"/>
        </w:rPr>
        <w:t xml:space="preserve"> in the RCB Framework for applicable DG resources. </w:t>
      </w:r>
    </w:p>
    <w:p w14:paraId="1F84CC09" w14:textId="385EDE18" w:rsidR="00A9026A" w:rsidRPr="00720A49" w:rsidRDefault="00B43AB5" w:rsidP="00935E4F">
      <w:pPr>
        <w:pStyle w:val="Heading3"/>
        <w:rPr>
          <w:rFonts w:ascii="Aptos" w:hAnsi="Aptos"/>
        </w:rPr>
      </w:pPr>
      <w:bookmarkStart w:id="20" w:name="_Hlk83715767"/>
      <w:bookmarkEnd w:id="19"/>
      <w:r w:rsidRPr="00720A49">
        <w:rPr>
          <w:rFonts w:ascii="Aptos" w:hAnsi="Aptos"/>
        </w:rPr>
        <w:t>Integrat</w:t>
      </w:r>
      <w:r w:rsidR="00B870F1" w:rsidRPr="00720A49">
        <w:rPr>
          <w:rFonts w:ascii="Aptos" w:hAnsi="Aptos"/>
        </w:rPr>
        <w:t>ion</w:t>
      </w:r>
      <w:r w:rsidRPr="00720A49">
        <w:rPr>
          <w:rFonts w:ascii="Aptos" w:hAnsi="Aptos"/>
        </w:rPr>
        <w:t xml:space="preserve"> </w:t>
      </w:r>
      <w:r w:rsidR="00A9026A" w:rsidRPr="00720A49">
        <w:rPr>
          <w:rFonts w:ascii="Aptos" w:hAnsi="Aptos"/>
        </w:rPr>
        <w:t>Cost</w:t>
      </w:r>
      <w:r w:rsidR="004922EC" w:rsidRPr="00720A49">
        <w:rPr>
          <w:rFonts w:ascii="Aptos" w:hAnsi="Aptos"/>
        </w:rPr>
        <w:t>s</w:t>
      </w:r>
    </w:p>
    <w:bookmarkEnd w:id="20"/>
    <w:p w14:paraId="60605A23" w14:textId="083BCFCD" w:rsidR="000A22A5" w:rsidRPr="00720A49" w:rsidRDefault="000A22A5" w:rsidP="00FF3E25">
      <w:pPr>
        <w:jc w:val="both"/>
        <w:rPr>
          <w:rFonts w:ascii="Aptos" w:hAnsi="Aptos" w:cs="Arial"/>
        </w:rPr>
      </w:pPr>
      <w:r w:rsidRPr="00720A49">
        <w:rPr>
          <w:rFonts w:ascii="Aptos" w:hAnsi="Aptos" w:cs="Arial"/>
        </w:rPr>
        <w:t>The intermittent nature of renewable resources introduces additional volatility to the net demand on the system</w:t>
      </w:r>
      <w:r w:rsidR="004922EC" w:rsidRPr="00720A49">
        <w:rPr>
          <w:rFonts w:ascii="Aptos" w:hAnsi="Aptos" w:cs="Arial"/>
        </w:rPr>
        <w:t xml:space="preserve">, which could </w:t>
      </w:r>
      <w:r w:rsidRPr="00720A49">
        <w:rPr>
          <w:rFonts w:ascii="Aptos" w:hAnsi="Aptos" w:cs="Arial"/>
        </w:rPr>
        <w:t xml:space="preserve">put pressure on the inherent flexibility and balancing services of the system. Reliable operation and compliance with </w:t>
      </w:r>
      <w:r w:rsidR="007E04C2" w:rsidRPr="00720A49">
        <w:rPr>
          <w:rFonts w:ascii="Aptos" w:hAnsi="Aptos" w:cs="Arial"/>
        </w:rPr>
        <w:t>North American Electric Reliability Corporation (“</w:t>
      </w:r>
      <w:r w:rsidRPr="00720A49">
        <w:rPr>
          <w:rFonts w:ascii="Aptos" w:hAnsi="Aptos" w:cs="Arial"/>
        </w:rPr>
        <w:t>NERC</w:t>
      </w:r>
      <w:r w:rsidR="007E04C2" w:rsidRPr="00720A49">
        <w:rPr>
          <w:rFonts w:ascii="Aptos" w:hAnsi="Aptos" w:cs="Arial"/>
        </w:rPr>
        <w:t>”)</w:t>
      </w:r>
      <w:r w:rsidRPr="00720A49">
        <w:rPr>
          <w:rFonts w:ascii="Aptos" w:hAnsi="Aptos" w:cs="Arial"/>
        </w:rPr>
        <w:t xml:space="preserve"> requirements dictate that system operators balance generation and demand while maintaining adequate operating reserves. Integration costs </w:t>
      </w:r>
      <w:r w:rsidR="004922EC" w:rsidRPr="00720A49">
        <w:rPr>
          <w:rFonts w:ascii="Aptos" w:hAnsi="Aptos" w:cs="Arial"/>
        </w:rPr>
        <w:t>are</w:t>
      </w:r>
      <w:r w:rsidRPr="00720A49">
        <w:rPr>
          <w:rFonts w:ascii="Aptos" w:hAnsi="Aptos" w:cs="Arial"/>
        </w:rPr>
        <w:t xml:space="preserve"> associated with these requirements </w:t>
      </w:r>
      <w:r w:rsidR="004922EC" w:rsidRPr="00720A49">
        <w:rPr>
          <w:rFonts w:ascii="Aptos" w:hAnsi="Aptos" w:cs="Arial"/>
        </w:rPr>
        <w:t>when a</w:t>
      </w:r>
      <w:r w:rsidRPr="00720A49">
        <w:rPr>
          <w:rFonts w:ascii="Aptos" w:hAnsi="Aptos" w:cs="Arial"/>
        </w:rPr>
        <w:t xml:space="preserve"> system </w:t>
      </w:r>
      <w:r w:rsidR="004922EC" w:rsidRPr="00720A49">
        <w:rPr>
          <w:rFonts w:ascii="Aptos" w:hAnsi="Aptos" w:cs="Arial"/>
        </w:rPr>
        <w:t xml:space="preserve">has </w:t>
      </w:r>
      <w:r w:rsidRPr="00720A49">
        <w:rPr>
          <w:rFonts w:ascii="Aptos" w:hAnsi="Aptos" w:cs="Arial"/>
        </w:rPr>
        <w:t>increasing levels of renewable resources. The following operational components contribute to Integration Costs:</w:t>
      </w:r>
    </w:p>
    <w:p w14:paraId="64926C5C" w14:textId="31FED404" w:rsidR="00922B87" w:rsidRPr="00720A49" w:rsidRDefault="00922B87" w:rsidP="00FF3E25">
      <w:pPr>
        <w:pStyle w:val="Bullet1"/>
        <w:jc w:val="both"/>
        <w:rPr>
          <w:rFonts w:ascii="Aptos" w:hAnsi="Aptos" w:cs="Arial"/>
          <w:u w:val="single"/>
        </w:rPr>
      </w:pPr>
      <w:r w:rsidRPr="00720A49">
        <w:rPr>
          <w:rFonts w:ascii="Aptos" w:hAnsi="Aptos" w:cs="Arial"/>
          <w:u w:val="single"/>
        </w:rPr>
        <w:t>Generation Volatility</w:t>
      </w:r>
    </w:p>
    <w:p w14:paraId="60540420" w14:textId="4D1190CC" w:rsidR="00922B87" w:rsidRPr="00720A49" w:rsidRDefault="00922B87" w:rsidP="00FF3E25">
      <w:pPr>
        <w:pStyle w:val="ListParagraph"/>
        <w:jc w:val="both"/>
        <w:rPr>
          <w:rFonts w:ascii="Aptos" w:hAnsi="Aptos" w:cs="Arial"/>
        </w:rPr>
      </w:pPr>
      <w:r w:rsidRPr="00720A49">
        <w:rPr>
          <w:rFonts w:ascii="Aptos" w:hAnsi="Aptos" w:cs="Arial"/>
        </w:rPr>
        <w:t xml:space="preserve">Generation volatility is common </w:t>
      </w:r>
      <w:r w:rsidR="004922EC" w:rsidRPr="00720A49">
        <w:rPr>
          <w:rFonts w:ascii="Aptos" w:hAnsi="Aptos" w:cs="Arial"/>
        </w:rPr>
        <w:t>for</w:t>
      </w:r>
      <w:r w:rsidRPr="00720A49">
        <w:rPr>
          <w:rFonts w:ascii="Aptos" w:hAnsi="Aptos" w:cs="Arial"/>
        </w:rPr>
        <w:t xml:space="preserve"> renewable resources</w:t>
      </w:r>
      <w:r w:rsidR="004922EC" w:rsidRPr="00720A49">
        <w:rPr>
          <w:rFonts w:ascii="Aptos" w:hAnsi="Aptos" w:cs="Arial"/>
        </w:rPr>
        <w:t>,</w:t>
      </w:r>
      <w:r w:rsidRPr="00720A49">
        <w:rPr>
          <w:rFonts w:ascii="Aptos" w:hAnsi="Aptos" w:cs="Arial"/>
        </w:rPr>
        <w:t xml:space="preserve"> </w:t>
      </w:r>
      <w:r w:rsidR="004922EC" w:rsidRPr="00720A49">
        <w:rPr>
          <w:rFonts w:ascii="Aptos" w:hAnsi="Aptos" w:cs="Arial"/>
        </w:rPr>
        <w:t>primarily based on</w:t>
      </w:r>
      <w:r w:rsidRPr="00720A49">
        <w:rPr>
          <w:rFonts w:ascii="Aptos" w:hAnsi="Aptos" w:cs="Arial"/>
        </w:rPr>
        <w:t xml:space="preserve"> weather variability. This volatility increase</w:t>
      </w:r>
      <w:r w:rsidR="004922EC" w:rsidRPr="00720A49">
        <w:rPr>
          <w:rFonts w:ascii="Aptos" w:hAnsi="Aptos" w:cs="Arial"/>
        </w:rPr>
        <w:t>s</w:t>
      </w:r>
      <w:r w:rsidRPr="00720A49">
        <w:rPr>
          <w:rFonts w:ascii="Aptos" w:hAnsi="Aptos" w:cs="Arial"/>
        </w:rPr>
        <w:t xml:space="preserve"> the overall net demand volatility to which the system must be prepared to respond</w:t>
      </w:r>
      <w:r w:rsidR="00F527B3" w:rsidRPr="00720A49">
        <w:rPr>
          <w:rFonts w:ascii="Aptos" w:hAnsi="Aptos" w:cs="Arial"/>
        </w:rPr>
        <w:t>,</w:t>
      </w:r>
      <w:r w:rsidR="00881B36" w:rsidRPr="00720A49">
        <w:rPr>
          <w:rFonts w:ascii="Aptos" w:hAnsi="Aptos" w:cs="Arial"/>
        </w:rPr>
        <w:t xml:space="preserve"> </w:t>
      </w:r>
      <w:r w:rsidR="004922EC" w:rsidRPr="00720A49">
        <w:rPr>
          <w:rFonts w:ascii="Aptos" w:hAnsi="Aptos" w:cs="Arial"/>
        </w:rPr>
        <w:t>and affects</w:t>
      </w:r>
      <w:r w:rsidR="00F527B3" w:rsidRPr="00720A49">
        <w:rPr>
          <w:rFonts w:ascii="Aptos" w:hAnsi="Aptos" w:cs="Arial"/>
        </w:rPr>
        <w:t xml:space="preserve"> the economic dispatch</w:t>
      </w:r>
      <w:r w:rsidR="00E64F9A" w:rsidRPr="00720A49">
        <w:rPr>
          <w:rFonts w:ascii="Aptos" w:hAnsi="Aptos" w:cs="Arial"/>
        </w:rPr>
        <w:t>,</w:t>
      </w:r>
      <w:r w:rsidR="00F527B3" w:rsidRPr="00720A49">
        <w:rPr>
          <w:rFonts w:ascii="Aptos" w:hAnsi="Aptos" w:cs="Arial"/>
        </w:rPr>
        <w:t xml:space="preserve"> ramping and regulating requirements of other generating units</w:t>
      </w:r>
      <w:r w:rsidRPr="00720A49">
        <w:rPr>
          <w:rFonts w:ascii="Aptos" w:hAnsi="Aptos" w:cs="Arial"/>
        </w:rPr>
        <w:t xml:space="preserve">. </w:t>
      </w:r>
      <w:r w:rsidR="00DB264D" w:rsidRPr="00720A49">
        <w:rPr>
          <w:rFonts w:ascii="Aptos" w:hAnsi="Aptos" w:cs="Arial"/>
        </w:rPr>
        <w:t xml:space="preserve">The Balancing Authority sets aside a minimum of online contingency reserves </w:t>
      </w:r>
      <w:r w:rsidR="004922EC" w:rsidRPr="00720A49">
        <w:rPr>
          <w:rFonts w:ascii="Aptos" w:hAnsi="Aptos" w:cs="Arial"/>
        </w:rPr>
        <w:t>(Regulating Reserves)</w:t>
      </w:r>
      <w:r w:rsidR="00DB264D" w:rsidRPr="00720A49">
        <w:rPr>
          <w:rFonts w:ascii="Aptos" w:hAnsi="Aptos" w:cs="Arial"/>
        </w:rPr>
        <w:t xml:space="preserve"> to meet intra-hour net load intermittency and volatility.</w:t>
      </w:r>
      <w:r w:rsidR="00B4609B" w:rsidRPr="00720A49">
        <w:rPr>
          <w:rFonts w:ascii="Aptos" w:hAnsi="Aptos" w:cs="Arial"/>
        </w:rPr>
        <w:t xml:space="preserve"> </w:t>
      </w:r>
      <w:r w:rsidR="005E76F7" w:rsidRPr="00720A49">
        <w:rPr>
          <w:rFonts w:ascii="Aptos" w:hAnsi="Aptos" w:cs="Arial"/>
        </w:rPr>
        <w:t xml:space="preserve">NERC requires that short-term generation fluctuations </w:t>
      </w:r>
      <w:r w:rsidR="004922EC" w:rsidRPr="00720A49">
        <w:rPr>
          <w:rFonts w:ascii="Aptos" w:hAnsi="Aptos" w:cs="Arial"/>
        </w:rPr>
        <w:t xml:space="preserve">of </w:t>
      </w:r>
      <w:r w:rsidR="005E76F7" w:rsidRPr="00720A49">
        <w:rPr>
          <w:rFonts w:ascii="Aptos" w:hAnsi="Aptos" w:cs="Arial"/>
        </w:rPr>
        <w:t xml:space="preserve">seconds to minutes be managed by Regulating Reserves to balance system load. </w:t>
      </w:r>
      <w:r w:rsidRPr="00720A49">
        <w:rPr>
          <w:rFonts w:ascii="Aptos" w:hAnsi="Aptos" w:cs="Arial"/>
        </w:rPr>
        <w:t xml:space="preserve"> </w:t>
      </w:r>
      <w:r w:rsidR="004922EC" w:rsidRPr="00720A49">
        <w:rPr>
          <w:rFonts w:ascii="Aptos" w:hAnsi="Aptos" w:cs="Arial"/>
        </w:rPr>
        <w:t>T</w:t>
      </w:r>
      <w:r w:rsidR="00DB264D" w:rsidRPr="00720A49">
        <w:rPr>
          <w:rFonts w:ascii="Aptos" w:hAnsi="Aptos" w:cs="Arial"/>
        </w:rPr>
        <w:t xml:space="preserve">hese fluctuations </w:t>
      </w:r>
      <w:r w:rsidR="00B870F1" w:rsidRPr="00720A49">
        <w:rPr>
          <w:rFonts w:ascii="Aptos" w:hAnsi="Aptos" w:cs="Arial"/>
        </w:rPr>
        <w:t xml:space="preserve">are </w:t>
      </w:r>
      <w:r w:rsidR="004922EC" w:rsidRPr="00720A49">
        <w:rPr>
          <w:rFonts w:ascii="Aptos" w:hAnsi="Aptos" w:cs="Arial"/>
        </w:rPr>
        <w:t xml:space="preserve">initially </w:t>
      </w:r>
      <w:r w:rsidR="00DB264D" w:rsidRPr="00720A49">
        <w:rPr>
          <w:rFonts w:ascii="Aptos" w:hAnsi="Aptos" w:cs="Arial"/>
        </w:rPr>
        <w:t xml:space="preserve">managed and served by online and available resources. </w:t>
      </w:r>
      <w:bookmarkStart w:id="21" w:name="_Hlk86417385"/>
      <w:r w:rsidR="00D40D2E" w:rsidRPr="00720A49">
        <w:rPr>
          <w:rFonts w:ascii="Aptos" w:hAnsi="Aptos" w:cs="Arial"/>
        </w:rPr>
        <w:t xml:space="preserve">If online reserves are insufficient to manage the generation volatility, </w:t>
      </w:r>
      <w:r w:rsidR="00DB264D" w:rsidRPr="00720A49">
        <w:rPr>
          <w:rFonts w:ascii="Aptos" w:hAnsi="Aptos" w:cs="Arial"/>
        </w:rPr>
        <w:t xml:space="preserve">additional resources </w:t>
      </w:r>
      <w:r w:rsidR="00B870F1" w:rsidRPr="00720A49">
        <w:rPr>
          <w:rFonts w:ascii="Aptos" w:hAnsi="Aptos" w:cs="Arial"/>
        </w:rPr>
        <w:t>are</w:t>
      </w:r>
      <w:r w:rsidR="00DB264D" w:rsidRPr="00720A49">
        <w:rPr>
          <w:rFonts w:ascii="Aptos" w:hAnsi="Aptos" w:cs="Arial"/>
        </w:rPr>
        <w:t xml:space="preserve"> needed to manage the generation </w:t>
      </w:r>
      <w:r w:rsidR="00DB264D" w:rsidRPr="00720A49">
        <w:rPr>
          <w:rFonts w:ascii="Aptos" w:hAnsi="Aptos" w:cs="Arial"/>
        </w:rPr>
        <w:lastRenderedPageBreak/>
        <w:t xml:space="preserve">gap </w:t>
      </w:r>
      <w:r w:rsidR="00A46222" w:rsidRPr="00720A49">
        <w:rPr>
          <w:rFonts w:ascii="Aptos" w:hAnsi="Aptos" w:cs="Arial"/>
        </w:rPr>
        <w:t xml:space="preserve">and </w:t>
      </w:r>
      <w:r w:rsidR="00DB264D" w:rsidRPr="00720A49">
        <w:rPr>
          <w:rFonts w:ascii="Aptos" w:hAnsi="Aptos" w:cs="Arial"/>
        </w:rPr>
        <w:t xml:space="preserve">maintain adequate contingency reserves. </w:t>
      </w:r>
      <w:bookmarkEnd w:id="21"/>
      <w:r w:rsidRPr="00720A49">
        <w:rPr>
          <w:rFonts w:ascii="Aptos" w:hAnsi="Aptos" w:cs="Arial"/>
        </w:rPr>
        <w:t xml:space="preserve">Increased </w:t>
      </w:r>
      <w:r w:rsidR="00A46222" w:rsidRPr="00720A49">
        <w:rPr>
          <w:rFonts w:ascii="Aptos" w:hAnsi="Aptos" w:cs="Arial"/>
        </w:rPr>
        <w:t xml:space="preserve">use </w:t>
      </w:r>
      <w:r w:rsidRPr="00720A49">
        <w:rPr>
          <w:rFonts w:ascii="Aptos" w:hAnsi="Aptos" w:cs="Arial"/>
        </w:rPr>
        <w:t xml:space="preserve">of </w:t>
      </w:r>
      <w:r w:rsidR="0062477A" w:rsidRPr="00720A49">
        <w:rPr>
          <w:rFonts w:ascii="Aptos" w:hAnsi="Aptos" w:cs="Arial"/>
        </w:rPr>
        <w:t>contingency r</w:t>
      </w:r>
      <w:r w:rsidRPr="00720A49">
        <w:rPr>
          <w:rFonts w:ascii="Aptos" w:hAnsi="Aptos" w:cs="Arial"/>
        </w:rPr>
        <w:t xml:space="preserve">eserves </w:t>
      </w:r>
      <w:r w:rsidR="00B4609B" w:rsidRPr="00720A49">
        <w:rPr>
          <w:rFonts w:ascii="Aptos" w:hAnsi="Aptos" w:cs="Arial"/>
        </w:rPr>
        <w:t>increase</w:t>
      </w:r>
      <w:r w:rsidR="00B870F1" w:rsidRPr="00720A49">
        <w:rPr>
          <w:rFonts w:ascii="Aptos" w:hAnsi="Aptos" w:cs="Arial"/>
        </w:rPr>
        <w:t>s</w:t>
      </w:r>
      <w:r w:rsidRPr="00720A49">
        <w:rPr>
          <w:rFonts w:ascii="Aptos" w:hAnsi="Aptos" w:cs="Arial"/>
        </w:rPr>
        <w:t xml:space="preserve"> total system </w:t>
      </w:r>
      <w:r w:rsidR="004B305D" w:rsidRPr="00720A49">
        <w:rPr>
          <w:rFonts w:ascii="Aptos" w:hAnsi="Aptos" w:cs="Arial"/>
        </w:rPr>
        <w:t xml:space="preserve">production </w:t>
      </w:r>
      <w:r w:rsidRPr="00720A49">
        <w:rPr>
          <w:rFonts w:ascii="Aptos" w:hAnsi="Aptos" w:cs="Arial"/>
        </w:rPr>
        <w:t xml:space="preserve">costs.  </w:t>
      </w:r>
      <w:r w:rsidR="0062477A" w:rsidRPr="00720A49">
        <w:rPr>
          <w:rFonts w:ascii="Aptos" w:hAnsi="Aptos" w:cs="Arial"/>
        </w:rPr>
        <w:t>H</w:t>
      </w:r>
      <w:r w:rsidRPr="00720A49">
        <w:rPr>
          <w:rFonts w:ascii="Aptos" w:hAnsi="Aptos" w:cs="Arial"/>
        </w:rPr>
        <w:t xml:space="preserve">igh levels of renewable penetration </w:t>
      </w:r>
      <w:r w:rsidR="0062477A" w:rsidRPr="00720A49">
        <w:rPr>
          <w:rFonts w:ascii="Aptos" w:hAnsi="Aptos" w:cs="Arial"/>
        </w:rPr>
        <w:t>will</w:t>
      </w:r>
      <w:r w:rsidRPr="00720A49">
        <w:rPr>
          <w:rFonts w:ascii="Aptos" w:hAnsi="Aptos" w:cs="Arial"/>
        </w:rPr>
        <w:t xml:space="preserve"> require additional levels of Regulat</w:t>
      </w:r>
      <w:r w:rsidR="0062477A" w:rsidRPr="00720A49">
        <w:rPr>
          <w:rFonts w:ascii="Aptos" w:hAnsi="Aptos" w:cs="Arial"/>
        </w:rPr>
        <w:t>ing</w:t>
      </w:r>
      <w:r w:rsidRPr="00720A49">
        <w:rPr>
          <w:rFonts w:ascii="Aptos" w:hAnsi="Aptos" w:cs="Arial"/>
        </w:rPr>
        <w:t xml:space="preserve"> Reserves </w:t>
      </w:r>
      <w:r w:rsidR="00D639EC" w:rsidRPr="00720A49">
        <w:rPr>
          <w:rFonts w:ascii="Aptos" w:hAnsi="Aptos" w:cs="Arial"/>
        </w:rPr>
        <w:t xml:space="preserve">which </w:t>
      </w:r>
      <w:r w:rsidR="00A46222" w:rsidRPr="00720A49">
        <w:rPr>
          <w:rFonts w:ascii="Aptos" w:hAnsi="Aptos" w:cs="Arial"/>
        </w:rPr>
        <w:t xml:space="preserve">will need </w:t>
      </w:r>
      <w:r w:rsidR="0062477A" w:rsidRPr="00720A49">
        <w:rPr>
          <w:rFonts w:ascii="Aptos" w:hAnsi="Aptos" w:cs="Arial"/>
        </w:rPr>
        <w:t xml:space="preserve">to </w:t>
      </w:r>
      <w:r w:rsidRPr="00720A49">
        <w:rPr>
          <w:rFonts w:ascii="Aptos" w:hAnsi="Aptos" w:cs="Arial"/>
        </w:rPr>
        <w:t>be committed at certain periods of time</w:t>
      </w:r>
      <w:r w:rsidR="0062477A" w:rsidRPr="00720A49">
        <w:rPr>
          <w:rFonts w:ascii="Aptos" w:hAnsi="Aptos" w:cs="Arial"/>
        </w:rPr>
        <w:t xml:space="preserve"> to manage the </w:t>
      </w:r>
      <w:r w:rsidR="00A46222" w:rsidRPr="00720A49">
        <w:rPr>
          <w:rFonts w:ascii="Aptos" w:hAnsi="Aptos" w:cs="Arial"/>
        </w:rPr>
        <w:t xml:space="preserve">resulting </w:t>
      </w:r>
      <w:r w:rsidR="0062477A" w:rsidRPr="00720A49">
        <w:rPr>
          <w:rFonts w:ascii="Aptos" w:hAnsi="Aptos" w:cs="Arial"/>
        </w:rPr>
        <w:t>net load variations</w:t>
      </w:r>
      <w:r w:rsidRPr="00720A49">
        <w:rPr>
          <w:rFonts w:ascii="Aptos" w:hAnsi="Aptos" w:cs="Arial"/>
        </w:rPr>
        <w:t xml:space="preserve">.    </w:t>
      </w:r>
    </w:p>
    <w:p w14:paraId="34D3D1B0" w14:textId="77777777" w:rsidR="00922B87" w:rsidRPr="00720A49" w:rsidRDefault="00922B87" w:rsidP="00FF3E25">
      <w:pPr>
        <w:pStyle w:val="Bullet1"/>
        <w:jc w:val="both"/>
        <w:rPr>
          <w:rFonts w:ascii="Aptos" w:hAnsi="Aptos" w:cs="Arial"/>
          <w:u w:val="single"/>
        </w:rPr>
      </w:pPr>
      <w:r w:rsidRPr="00720A49">
        <w:rPr>
          <w:rFonts w:ascii="Aptos" w:hAnsi="Aptos" w:cs="Arial"/>
          <w:u w:val="single"/>
        </w:rPr>
        <w:t xml:space="preserve">Generation Ramping </w:t>
      </w:r>
    </w:p>
    <w:p w14:paraId="3D2013AC" w14:textId="16ECE417" w:rsidR="00922B87" w:rsidRPr="00720A49" w:rsidRDefault="00A46222" w:rsidP="00FF3E25">
      <w:pPr>
        <w:pStyle w:val="ListParagraph"/>
        <w:jc w:val="both"/>
        <w:rPr>
          <w:rFonts w:ascii="Aptos" w:hAnsi="Aptos" w:cs="Arial"/>
        </w:rPr>
      </w:pPr>
      <w:r w:rsidRPr="00720A49">
        <w:rPr>
          <w:rFonts w:ascii="Aptos" w:hAnsi="Aptos" w:cs="Arial"/>
        </w:rPr>
        <w:t xml:space="preserve">When a renewable resource is available on a diurnal cycle, </w:t>
      </w:r>
      <w:r w:rsidR="00922B87" w:rsidRPr="00720A49">
        <w:rPr>
          <w:rFonts w:ascii="Aptos" w:hAnsi="Aptos" w:cs="Arial"/>
        </w:rPr>
        <w:t xml:space="preserve">renewable generation </w:t>
      </w:r>
      <w:r w:rsidRPr="00720A49">
        <w:rPr>
          <w:rFonts w:ascii="Aptos" w:hAnsi="Aptos" w:cs="Arial"/>
        </w:rPr>
        <w:t>has an impact on</w:t>
      </w:r>
      <w:r w:rsidR="00922B87" w:rsidRPr="00720A49">
        <w:rPr>
          <w:rFonts w:ascii="Aptos" w:hAnsi="Aptos" w:cs="Arial"/>
        </w:rPr>
        <w:t xml:space="preserve"> the ramping requirement of the fleet. </w:t>
      </w:r>
      <w:r w:rsidR="00B870F1" w:rsidRPr="00720A49">
        <w:rPr>
          <w:rFonts w:ascii="Aptos" w:hAnsi="Aptos" w:cs="Arial"/>
        </w:rPr>
        <w:t>N</w:t>
      </w:r>
      <w:r w:rsidR="00922B87" w:rsidRPr="00720A49">
        <w:rPr>
          <w:rFonts w:ascii="Aptos" w:hAnsi="Aptos" w:cs="Arial"/>
        </w:rPr>
        <w:t>ormal weather patterns</w:t>
      </w:r>
      <w:r w:rsidR="00B870F1" w:rsidRPr="00720A49">
        <w:rPr>
          <w:rFonts w:ascii="Aptos" w:hAnsi="Aptos" w:cs="Arial"/>
        </w:rPr>
        <w:t xml:space="preserve"> create</w:t>
      </w:r>
      <w:r w:rsidR="00922B87" w:rsidRPr="00720A49">
        <w:rPr>
          <w:rFonts w:ascii="Aptos" w:hAnsi="Aptos" w:cs="Arial"/>
        </w:rPr>
        <w:t xml:space="preserve"> </w:t>
      </w:r>
      <w:r w:rsidR="00B870F1" w:rsidRPr="00720A49">
        <w:rPr>
          <w:rFonts w:ascii="Aptos" w:hAnsi="Aptos" w:cs="Arial"/>
        </w:rPr>
        <w:t>these ramping requirements</w:t>
      </w:r>
      <w:r w:rsidRPr="00720A49">
        <w:rPr>
          <w:rFonts w:ascii="Aptos" w:hAnsi="Aptos" w:cs="Arial"/>
        </w:rPr>
        <w:t>,</w:t>
      </w:r>
      <w:r w:rsidR="00B870F1" w:rsidRPr="00720A49">
        <w:rPr>
          <w:rFonts w:ascii="Aptos" w:hAnsi="Aptos" w:cs="Arial"/>
        </w:rPr>
        <w:t xml:space="preserve"> which</w:t>
      </w:r>
      <w:r w:rsidR="00922B87" w:rsidRPr="00720A49">
        <w:rPr>
          <w:rFonts w:ascii="Aptos" w:hAnsi="Aptos" w:cs="Arial"/>
        </w:rPr>
        <w:t xml:space="preserve"> </w:t>
      </w:r>
      <w:r w:rsidRPr="00720A49">
        <w:rPr>
          <w:rFonts w:ascii="Aptos" w:hAnsi="Aptos" w:cs="Arial"/>
        </w:rPr>
        <w:t xml:space="preserve">vary </w:t>
      </w:r>
      <w:r w:rsidR="00922B87" w:rsidRPr="00720A49">
        <w:rPr>
          <w:rFonts w:ascii="Aptos" w:hAnsi="Aptos" w:cs="Arial"/>
        </w:rPr>
        <w:t xml:space="preserve">across the year.  </w:t>
      </w:r>
      <w:r w:rsidR="004527DC" w:rsidRPr="00720A49">
        <w:rPr>
          <w:rFonts w:ascii="Aptos" w:hAnsi="Aptos" w:cs="Arial"/>
        </w:rPr>
        <w:t>Other generation resources are required to mitigate generation volatility and uncertainty as the amount of VERs increase</w:t>
      </w:r>
      <w:r w:rsidRPr="00720A49">
        <w:rPr>
          <w:rFonts w:ascii="Aptos" w:hAnsi="Aptos" w:cs="Arial"/>
        </w:rPr>
        <w:t>s</w:t>
      </w:r>
      <w:r w:rsidR="004527DC" w:rsidRPr="00720A49">
        <w:rPr>
          <w:rFonts w:ascii="Aptos" w:hAnsi="Aptos" w:cs="Arial"/>
        </w:rPr>
        <w:t xml:space="preserve">. </w:t>
      </w:r>
      <w:r w:rsidR="00AE79DB" w:rsidRPr="00720A49">
        <w:rPr>
          <w:rFonts w:ascii="Aptos" w:hAnsi="Aptos" w:cs="Arial"/>
        </w:rPr>
        <w:t>R</w:t>
      </w:r>
      <w:r w:rsidR="00922B87" w:rsidRPr="00720A49">
        <w:rPr>
          <w:rFonts w:ascii="Aptos" w:hAnsi="Aptos" w:cs="Arial"/>
        </w:rPr>
        <w:t xml:space="preserve">enewable resources can </w:t>
      </w:r>
      <w:r w:rsidRPr="00720A49">
        <w:rPr>
          <w:rFonts w:ascii="Aptos" w:hAnsi="Aptos" w:cs="Arial"/>
        </w:rPr>
        <w:t>af</w:t>
      </w:r>
      <w:r w:rsidR="004D31A4" w:rsidRPr="00720A49">
        <w:rPr>
          <w:rFonts w:ascii="Aptos" w:hAnsi="Aptos" w:cs="Arial"/>
        </w:rPr>
        <w:t>f</w:t>
      </w:r>
      <w:r w:rsidRPr="00720A49">
        <w:rPr>
          <w:rFonts w:ascii="Aptos" w:hAnsi="Aptos" w:cs="Arial"/>
        </w:rPr>
        <w:t xml:space="preserve">ect </w:t>
      </w:r>
      <w:r w:rsidR="00922B87" w:rsidRPr="00720A49">
        <w:rPr>
          <w:rFonts w:ascii="Aptos" w:hAnsi="Aptos" w:cs="Arial"/>
        </w:rPr>
        <w:t xml:space="preserve">both the magnitude and the duration of the ramping requirement. </w:t>
      </w:r>
      <w:r w:rsidR="005E7AA1" w:rsidRPr="00720A49">
        <w:rPr>
          <w:rFonts w:ascii="Aptos" w:hAnsi="Aptos" w:cs="Arial"/>
        </w:rPr>
        <w:t xml:space="preserve">Outside of the 10-minute window, renewable resources directly </w:t>
      </w:r>
      <w:r w:rsidR="00AE79DB" w:rsidRPr="00720A49">
        <w:rPr>
          <w:rFonts w:ascii="Aptos" w:hAnsi="Aptos" w:cs="Arial"/>
        </w:rPr>
        <w:t xml:space="preserve">affect </w:t>
      </w:r>
      <w:r w:rsidR="005E7AA1" w:rsidRPr="00720A49">
        <w:rPr>
          <w:rFonts w:ascii="Aptos" w:hAnsi="Aptos" w:cs="Arial"/>
        </w:rPr>
        <w:t>operating reserves</w:t>
      </w:r>
      <w:r w:rsidRPr="00720A49">
        <w:rPr>
          <w:rFonts w:ascii="Aptos" w:hAnsi="Aptos" w:cs="Arial"/>
        </w:rPr>
        <w:t>,</w:t>
      </w:r>
      <w:r w:rsidR="005E7AA1" w:rsidRPr="00720A49">
        <w:rPr>
          <w:rFonts w:ascii="Aptos" w:hAnsi="Aptos" w:cs="Arial"/>
        </w:rPr>
        <w:t xml:space="preserve"> which manage </w:t>
      </w:r>
      <w:r w:rsidR="003617A9" w:rsidRPr="00720A49">
        <w:rPr>
          <w:rFonts w:ascii="Aptos" w:hAnsi="Aptos" w:cs="Arial"/>
        </w:rPr>
        <w:t xml:space="preserve">system load and generation </w:t>
      </w:r>
      <w:r w:rsidR="005E7AA1" w:rsidRPr="00720A49">
        <w:rPr>
          <w:rFonts w:ascii="Aptos" w:hAnsi="Aptos" w:cs="Arial"/>
        </w:rPr>
        <w:t xml:space="preserve">variations </w:t>
      </w:r>
      <w:r w:rsidRPr="00720A49">
        <w:rPr>
          <w:rFonts w:ascii="Aptos" w:hAnsi="Aptos" w:cs="Arial"/>
        </w:rPr>
        <w:t xml:space="preserve">that </w:t>
      </w:r>
      <w:r w:rsidR="005E7AA1" w:rsidRPr="00720A49">
        <w:rPr>
          <w:rFonts w:ascii="Aptos" w:hAnsi="Aptos" w:cs="Arial"/>
        </w:rPr>
        <w:t xml:space="preserve">last more than 10 minutes. </w:t>
      </w:r>
      <w:r w:rsidR="00922B87" w:rsidRPr="00720A49">
        <w:rPr>
          <w:rFonts w:ascii="Aptos" w:hAnsi="Aptos" w:cs="Arial"/>
        </w:rPr>
        <w:t xml:space="preserve">Increases in the system ramping requirement can </w:t>
      </w:r>
      <w:r w:rsidRPr="00720A49">
        <w:rPr>
          <w:rFonts w:ascii="Aptos" w:hAnsi="Aptos" w:cs="Arial"/>
        </w:rPr>
        <w:t xml:space="preserve">affect </w:t>
      </w:r>
      <w:r w:rsidR="00922B87" w:rsidRPr="00720A49">
        <w:rPr>
          <w:rFonts w:ascii="Aptos" w:hAnsi="Aptos" w:cs="Arial"/>
        </w:rPr>
        <w:t>the amount and type of operating reserves needed. These impacts have the potential to increase the total system operating costs</w:t>
      </w:r>
      <w:r w:rsidR="0052670D" w:rsidRPr="00720A49">
        <w:rPr>
          <w:rFonts w:ascii="Aptos" w:hAnsi="Aptos" w:cs="Arial"/>
        </w:rPr>
        <w:t>.</w:t>
      </w:r>
      <w:r w:rsidR="002205FD" w:rsidRPr="00720A49">
        <w:rPr>
          <w:rFonts w:ascii="Aptos" w:hAnsi="Aptos" w:cs="Arial"/>
        </w:rPr>
        <w:t xml:space="preserve"> </w:t>
      </w:r>
    </w:p>
    <w:p w14:paraId="2FFE1A29" w14:textId="77777777" w:rsidR="00625E86" w:rsidRPr="00720A49" w:rsidRDefault="00625E86" w:rsidP="00FF3E25">
      <w:pPr>
        <w:pStyle w:val="Bullet1"/>
        <w:jc w:val="both"/>
        <w:rPr>
          <w:rFonts w:ascii="Aptos" w:hAnsi="Aptos" w:cs="Arial"/>
          <w:u w:val="single"/>
        </w:rPr>
      </w:pPr>
      <w:r w:rsidRPr="00720A49">
        <w:rPr>
          <w:rFonts w:ascii="Aptos" w:hAnsi="Aptos" w:cs="Arial"/>
          <w:u w:val="single"/>
        </w:rPr>
        <w:t xml:space="preserve">Generation Forecast Error </w:t>
      </w:r>
    </w:p>
    <w:p w14:paraId="423E53A9" w14:textId="39FF14AD" w:rsidR="00625E86" w:rsidRPr="00720A49" w:rsidRDefault="00A46222" w:rsidP="00FF3E25">
      <w:pPr>
        <w:pStyle w:val="ListParagraph"/>
        <w:jc w:val="both"/>
        <w:rPr>
          <w:rFonts w:ascii="Aptos" w:hAnsi="Aptos" w:cs="Arial"/>
        </w:rPr>
      </w:pPr>
      <w:r w:rsidRPr="00720A49">
        <w:rPr>
          <w:rFonts w:ascii="Aptos" w:hAnsi="Aptos" w:cs="Arial"/>
        </w:rPr>
        <w:t>R</w:t>
      </w:r>
      <w:r w:rsidR="00625E86" w:rsidRPr="00720A49">
        <w:rPr>
          <w:rFonts w:ascii="Aptos" w:hAnsi="Aptos" w:cs="Arial"/>
        </w:rPr>
        <w:t xml:space="preserve">enewable resources have a degree of inherent uncertainty due to dependence on weather and limited dispatchability. </w:t>
      </w:r>
      <w:r w:rsidRPr="00720A49">
        <w:rPr>
          <w:rFonts w:ascii="Aptos" w:hAnsi="Aptos" w:cs="Arial"/>
        </w:rPr>
        <w:t>A</w:t>
      </w:r>
      <w:r w:rsidR="001A2F35" w:rsidRPr="00720A49">
        <w:rPr>
          <w:rFonts w:ascii="Aptos" w:hAnsi="Aptos" w:cs="Arial"/>
        </w:rPr>
        <w:t>n accurate</w:t>
      </w:r>
      <w:r w:rsidRPr="00720A49">
        <w:rPr>
          <w:rFonts w:ascii="Aptos" w:hAnsi="Aptos" w:cs="Arial"/>
        </w:rPr>
        <w:t xml:space="preserve"> </w:t>
      </w:r>
      <w:r w:rsidR="00625E86" w:rsidRPr="00720A49">
        <w:rPr>
          <w:rFonts w:ascii="Aptos" w:hAnsi="Aptos" w:cs="Arial"/>
        </w:rPr>
        <w:t xml:space="preserve">renewable generation </w:t>
      </w:r>
      <w:r w:rsidRPr="00720A49">
        <w:rPr>
          <w:rFonts w:ascii="Aptos" w:hAnsi="Aptos" w:cs="Arial"/>
        </w:rPr>
        <w:t xml:space="preserve">forecast </w:t>
      </w:r>
      <w:r w:rsidR="00625E86" w:rsidRPr="00720A49">
        <w:rPr>
          <w:rFonts w:ascii="Aptos" w:hAnsi="Aptos" w:cs="Arial"/>
        </w:rPr>
        <w:t>is required</w:t>
      </w:r>
      <w:r w:rsidRPr="00720A49">
        <w:rPr>
          <w:rFonts w:ascii="Aptos" w:hAnsi="Aptos" w:cs="Arial"/>
        </w:rPr>
        <w:t xml:space="preserve"> to reliably and economically commit and dispatch the fleet</w:t>
      </w:r>
      <w:r w:rsidR="00D40008" w:rsidRPr="00720A49">
        <w:rPr>
          <w:rFonts w:ascii="Aptos" w:hAnsi="Aptos" w:cs="Arial"/>
        </w:rPr>
        <w:t>; however,</w:t>
      </w:r>
      <w:r w:rsidR="00625E86" w:rsidRPr="00720A49">
        <w:rPr>
          <w:rFonts w:ascii="Aptos" w:hAnsi="Aptos" w:cs="Arial"/>
        </w:rPr>
        <w:t xml:space="preserve"> </w:t>
      </w:r>
      <w:r w:rsidR="001A2F35" w:rsidRPr="00720A49">
        <w:rPr>
          <w:rFonts w:ascii="Aptos" w:hAnsi="Aptos" w:cs="Arial"/>
        </w:rPr>
        <w:t xml:space="preserve">a </w:t>
      </w:r>
      <w:r w:rsidR="00625E86" w:rsidRPr="00720A49">
        <w:rPr>
          <w:rFonts w:ascii="Aptos" w:hAnsi="Aptos" w:cs="Arial"/>
        </w:rPr>
        <w:t xml:space="preserve">level of forecast error is expected due to resource uncertainty. System operators must contend with this uncertainty as </w:t>
      </w:r>
      <w:r w:rsidRPr="00720A49">
        <w:rPr>
          <w:rFonts w:ascii="Aptos" w:hAnsi="Aptos" w:cs="Arial"/>
        </w:rPr>
        <w:t xml:space="preserve">they make </w:t>
      </w:r>
      <w:r w:rsidR="00625E86" w:rsidRPr="00720A49">
        <w:rPr>
          <w:rFonts w:ascii="Aptos" w:hAnsi="Aptos" w:cs="Arial"/>
        </w:rPr>
        <w:t>commitment and dispatch decisions</w:t>
      </w:r>
      <w:r w:rsidR="00220ED4" w:rsidRPr="00720A49">
        <w:rPr>
          <w:rFonts w:ascii="Aptos" w:hAnsi="Aptos" w:cs="Arial"/>
        </w:rPr>
        <w:t>,</w:t>
      </w:r>
      <w:r w:rsidR="00625E86" w:rsidRPr="00720A49">
        <w:rPr>
          <w:rFonts w:ascii="Aptos" w:hAnsi="Aptos" w:cs="Arial"/>
        </w:rPr>
        <w:t xml:space="preserve"> which introduces inefficiencies to overall system operations. The inefficiencies associated with imperfect forecasts have the potential to increase the total system operating costs</w:t>
      </w:r>
      <w:r w:rsidR="005A6BBB" w:rsidRPr="00720A49">
        <w:rPr>
          <w:rFonts w:ascii="Aptos" w:hAnsi="Aptos" w:cs="Arial"/>
        </w:rPr>
        <w:t xml:space="preserve">. </w:t>
      </w:r>
      <w:r w:rsidR="008E0E6E" w:rsidRPr="00720A49">
        <w:rPr>
          <w:rFonts w:ascii="Aptos" w:hAnsi="Aptos" w:cs="Arial"/>
        </w:rPr>
        <w:t>H</w:t>
      </w:r>
      <w:r w:rsidR="00625E86" w:rsidRPr="00720A49">
        <w:rPr>
          <w:rFonts w:ascii="Aptos" w:hAnsi="Aptos" w:cs="Arial"/>
        </w:rPr>
        <w:t xml:space="preserve">igh levels of renewable penetration </w:t>
      </w:r>
      <w:r w:rsidRPr="00720A49">
        <w:rPr>
          <w:rFonts w:ascii="Aptos" w:hAnsi="Aptos" w:cs="Arial"/>
        </w:rPr>
        <w:t>could</w:t>
      </w:r>
      <w:r w:rsidR="00625E86" w:rsidRPr="00720A49">
        <w:rPr>
          <w:rFonts w:ascii="Aptos" w:hAnsi="Aptos" w:cs="Arial"/>
        </w:rPr>
        <w:t xml:space="preserve"> require increased system flexibility to manage the generation uncertainty.</w:t>
      </w:r>
    </w:p>
    <w:p w14:paraId="41731705" w14:textId="77777777" w:rsidR="00A46222" w:rsidRPr="00720A49" w:rsidRDefault="00A46222" w:rsidP="00FF3E25">
      <w:pPr>
        <w:spacing w:after="0" w:line="360" w:lineRule="auto"/>
        <w:jc w:val="both"/>
        <w:rPr>
          <w:rFonts w:ascii="Aptos" w:hAnsi="Aptos" w:cs="Arial"/>
        </w:rPr>
      </w:pPr>
    </w:p>
    <w:p w14:paraId="6C1C6025" w14:textId="7746DFE6" w:rsidR="00625E86" w:rsidRPr="00720A49" w:rsidRDefault="00625E86" w:rsidP="00FF3E25">
      <w:pPr>
        <w:spacing w:before="0" w:line="360" w:lineRule="auto"/>
        <w:jc w:val="both"/>
        <w:rPr>
          <w:rFonts w:ascii="Aptos" w:hAnsi="Aptos" w:cs="Arial"/>
        </w:rPr>
      </w:pPr>
      <w:r w:rsidRPr="00720A49">
        <w:rPr>
          <w:rFonts w:ascii="Aptos" w:hAnsi="Aptos" w:cs="Arial"/>
        </w:rPr>
        <w:t xml:space="preserve">Integration Costs are reflected as a </w:t>
      </w:r>
      <w:r w:rsidRPr="00720A49">
        <w:rPr>
          <w:rFonts w:ascii="Aptos" w:hAnsi="Aptos" w:cs="Arial"/>
          <w:b/>
          <w:i/>
        </w:rPr>
        <w:t xml:space="preserve">cost </w:t>
      </w:r>
      <w:r w:rsidRPr="00720A49">
        <w:rPr>
          <w:rFonts w:ascii="Aptos" w:hAnsi="Aptos" w:cs="Arial"/>
        </w:rPr>
        <w:t>in the RCB Framework.</w:t>
      </w:r>
    </w:p>
    <w:p w14:paraId="76127306" w14:textId="508A31CC" w:rsidR="00FB3BD7" w:rsidRPr="00720A49" w:rsidRDefault="00FB3BD7" w:rsidP="00FB3BD7">
      <w:pPr>
        <w:pStyle w:val="Heading3"/>
        <w:rPr>
          <w:rFonts w:ascii="Aptos" w:hAnsi="Aptos"/>
        </w:rPr>
      </w:pPr>
      <w:r w:rsidRPr="00720A49">
        <w:rPr>
          <w:rFonts w:ascii="Aptos" w:hAnsi="Aptos"/>
        </w:rPr>
        <w:t>Renewable Energy Certificates</w:t>
      </w:r>
    </w:p>
    <w:p w14:paraId="74F3E8F8" w14:textId="388C497F" w:rsidR="00FB3BD7" w:rsidRPr="00720A49" w:rsidRDefault="009632FA" w:rsidP="00FF3E25">
      <w:pPr>
        <w:jc w:val="both"/>
        <w:rPr>
          <w:rFonts w:ascii="Aptos" w:hAnsi="Aptos" w:cs="Arial"/>
        </w:rPr>
      </w:pPr>
      <w:r w:rsidRPr="00720A49">
        <w:rPr>
          <w:rFonts w:ascii="Aptos" w:hAnsi="Aptos" w:cs="Arial"/>
        </w:rPr>
        <w:t>A renewable energy certificate, or REC, is a market-based instrument that represents the property rights to the environmental, social, and other non-power attributes of renewable electricity generation. RECs are issued when one megawatt-hour (</w:t>
      </w:r>
      <w:r w:rsidR="00501959" w:rsidRPr="00720A49">
        <w:rPr>
          <w:rFonts w:ascii="Aptos" w:hAnsi="Aptos" w:cs="Arial"/>
        </w:rPr>
        <w:t>“</w:t>
      </w:r>
      <w:r w:rsidRPr="00720A49">
        <w:rPr>
          <w:rFonts w:ascii="Aptos" w:hAnsi="Aptos" w:cs="Arial"/>
        </w:rPr>
        <w:t>MWh</w:t>
      </w:r>
      <w:r w:rsidR="00501959" w:rsidRPr="00720A49">
        <w:rPr>
          <w:rFonts w:ascii="Aptos" w:hAnsi="Aptos" w:cs="Arial"/>
        </w:rPr>
        <w:t>”</w:t>
      </w:r>
      <w:r w:rsidRPr="00720A49">
        <w:rPr>
          <w:rFonts w:ascii="Aptos" w:hAnsi="Aptos" w:cs="Arial"/>
        </w:rPr>
        <w:t>) of electricity is generated and delivered to the electricity grid from a renewable resource. REC value is only recognized if title to the REC is granted to the Company through resource ownership or contract structure.</w:t>
      </w:r>
    </w:p>
    <w:p w14:paraId="28FCBA53" w14:textId="77777777" w:rsidR="009632FA" w:rsidRPr="00720A49" w:rsidRDefault="009632FA" w:rsidP="00FF3E25">
      <w:pPr>
        <w:jc w:val="both"/>
        <w:rPr>
          <w:rFonts w:ascii="Aptos" w:hAnsi="Aptos" w:cs="Arial"/>
        </w:rPr>
      </w:pPr>
    </w:p>
    <w:p w14:paraId="2E8F2559" w14:textId="0B3B86E3" w:rsidR="009632FA" w:rsidRPr="00720A49" w:rsidRDefault="009632FA" w:rsidP="00FF3E25">
      <w:pPr>
        <w:jc w:val="both"/>
        <w:rPr>
          <w:rFonts w:ascii="Aptos" w:hAnsi="Aptos" w:cs="Arial"/>
        </w:rPr>
      </w:pPr>
      <w:r w:rsidRPr="00720A49">
        <w:rPr>
          <w:rFonts w:ascii="Aptos" w:hAnsi="Aptos" w:cs="Arial"/>
        </w:rPr>
        <w:t xml:space="preserve">Subject to further regulatory guidance, Renewable Energy Certificates are a </w:t>
      </w:r>
      <w:r w:rsidRPr="00720A49">
        <w:rPr>
          <w:rFonts w:ascii="Aptos" w:hAnsi="Aptos" w:cs="Arial"/>
          <w:b/>
          <w:i/>
        </w:rPr>
        <w:t xml:space="preserve">benefit </w:t>
      </w:r>
      <w:r w:rsidRPr="00720A49">
        <w:rPr>
          <w:rFonts w:ascii="Aptos" w:hAnsi="Aptos" w:cs="Arial"/>
        </w:rPr>
        <w:t>in the RCB Framework</w:t>
      </w:r>
      <w:r w:rsidR="009F57C3" w:rsidRPr="00720A49">
        <w:rPr>
          <w:rFonts w:ascii="Aptos" w:hAnsi="Aptos" w:cs="Arial"/>
        </w:rPr>
        <w:t>.</w:t>
      </w:r>
    </w:p>
    <w:p w14:paraId="0A97D5CE" w14:textId="77777777" w:rsidR="00860ABB" w:rsidRPr="00720A49" w:rsidRDefault="00860ABB">
      <w:pPr>
        <w:spacing w:before="0" w:after="200"/>
        <w:rPr>
          <w:rFonts w:ascii="Aptos" w:hAnsi="Aptos" w:cs="Arial"/>
          <w:b/>
          <w:sz w:val="24"/>
          <w:szCs w:val="24"/>
        </w:rPr>
      </w:pPr>
      <w:bookmarkStart w:id="22" w:name="_Toc163569785"/>
      <w:bookmarkStart w:id="23" w:name="_Hlk83718292"/>
      <w:r w:rsidRPr="00720A49">
        <w:rPr>
          <w:rFonts w:ascii="Aptos" w:hAnsi="Aptos"/>
        </w:rPr>
        <w:br w:type="page"/>
      </w:r>
    </w:p>
    <w:p w14:paraId="6268306D" w14:textId="3B50173A" w:rsidR="0003394F" w:rsidRPr="00720A49" w:rsidRDefault="00D832C9" w:rsidP="00C63BDA">
      <w:pPr>
        <w:pStyle w:val="Heading1"/>
        <w:jc w:val="left"/>
        <w:rPr>
          <w:rFonts w:ascii="Aptos" w:hAnsi="Aptos"/>
        </w:rPr>
      </w:pPr>
      <w:r w:rsidRPr="00720A49">
        <w:rPr>
          <w:rFonts w:ascii="Aptos" w:hAnsi="Aptos"/>
        </w:rPr>
        <w:lastRenderedPageBreak/>
        <w:t xml:space="preserve">RENEWABLE </w:t>
      </w:r>
      <w:r w:rsidR="0003394F" w:rsidRPr="00720A49">
        <w:rPr>
          <w:rFonts w:ascii="Aptos" w:hAnsi="Aptos"/>
        </w:rPr>
        <w:t>COST-BENEFIT METHODOLOGY</w:t>
      </w:r>
      <w:bookmarkEnd w:id="22"/>
    </w:p>
    <w:p w14:paraId="4C05D9CB" w14:textId="32584008" w:rsidR="0003394F" w:rsidRPr="00720A49" w:rsidRDefault="0003394F" w:rsidP="00935E4F">
      <w:pPr>
        <w:pStyle w:val="Heading2"/>
        <w:rPr>
          <w:rFonts w:ascii="Aptos" w:hAnsi="Aptos"/>
        </w:rPr>
      </w:pPr>
      <w:bookmarkStart w:id="24" w:name="_Hlk83718299"/>
      <w:bookmarkEnd w:id="23"/>
      <w:r w:rsidRPr="00720A49">
        <w:rPr>
          <w:rFonts w:ascii="Aptos" w:hAnsi="Aptos"/>
        </w:rPr>
        <w:t>Avoided Energy Costs</w:t>
      </w:r>
    </w:p>
    <w:bookmarkEnd w:id="24"/>
    <w:p w14:paraId="03B9E39D" w14:textId="5094A969" w:rsidR="0003394F" w:rsidRPr="00720A49" w:rsidRDefault="00E35888" w:rsidP="00FF3E25">
      <w:pPr>
        <w:jc w:val="both"/>
        <w:rPr>
          <w:rFonts w:ascii="Aptos" w:hAnsi="Aptos" w:cs="Arial"/>
        </w:rPr>
      </w:pPr>
      <w:r w:rsidRPr="00720A49">
        <w:rPr>
          <w:rFonts w:ascii="Aptos" w:hAnsi="Aptos" w:cs="Arial"/>
        </w:rPr>
        <w:t>R</w:t>
      </w:r>
      <w:r w:rsidR="00FC434D" w:rsidRPr="00720A49">
        <w:rPr>
          <w:rFonts w:ascii="Aptos" w:hAnsi="Aptos" w:cs="Arial"/>
        </w:rPr>
        <w:t xml:space="preserve">enewable resource </w:t>
      </w:r>
      <w:r w:rsidR="0003394F" w:rsidRPr="00720A49">
        <w:rPr>
          <w:rFonts w:ascii="Aptos" w:hAnsi="Aptos" w:cs="Arial"/>
        </w:rPr>
        <w:t xml:space="preserve">Avoided Energy Costs </w:t>
      </w:r>
      <w:r w:rsidRPr="00720A49">
        <w:rPr>
          <w:rFonts w:ascii="Aptos" w:hAnsi="Aptos" w:cs="Arial"/>
        </w:rPr>
        <w:t>can</w:t>
      </w:r>
      <w:r w:rsidR="0003394F" w:rsidRPr="00720A49">
        <w:rPr>
          <w:rFonts w:ascii="Aptos" w:hAnsi="Aptos" w:cs="Arial"/>
        </w:rPr>
        <w:t xml:space="preserve"> be calculated by multiplying the hourly renewable generation profile (in MW</w:t>
      </w:r>
      <w:r w:rsidR="0044416D" w:rsidRPr="00720A49">
        <w:rPr>
          <w:rFonts w:ascii="Aptos" w:hAnsi="Aptos" w:cs="Arial"/>
        </w:rPr>
        <w:t>H</w:t>
      </w:r>
      <w:r w:rsidR="0003394F" w:rsidRPr="00720A49">
        <w:rPr>
          <w:rFonts w:ascii="Aptos" w:hAnsi="Aptos" w:cs="Arial"/>
        </w:rPr>
        <w:t xml:space="preserve">) by the appropriate System Avoided Cost (in $/MWH) for that same hour. The </w:t>
      </w:r>
      <w:r w:rsidR="00CA55F6" w:rsidRPr="00720A49">
        <w:rPr>
          <w:rFonts w:ascii="Aptos" w:hAnsi="Aptos" w:cs="Arial"/>
        </w:rPr>
        <w:t xml:space="preserve">annual </w:t>
      </w:r>
      <w:r w:rsidR="0003394F" w:rsidRPr="00720A49">
        <w:rPr>
          <w:rFonts w:ascii="Aptos" w:hAnsi="Aptos" w:cs="Arial"/>
        </w:rPr>
        <w:t xml:space="preserve">sum of this product represents the </w:t>
      </w:r>
      <w:r w:rsidRPr="00720A49">
        <w:rPr>
          <w:rFonts w:ascii="Aptos" w:hAnsi="Aptos" w:cs="Arial"/>
        </w:rPr>
        <w:t xml:space="preserve">annual </w:t>
      </w:r>
      <w:r w:rsidR="0003394F" w:rsidRPr="00720A49">
        <w:rPr>
          <w:rFonts w:ascii="Aptos" w:hAnsi="Aptos" w:cs="Arial"/>
        </w:rPr>
        <w:t xml:space="preserve">avoided energy cost. This sum is divided by the renewable generation (in MWH) to give </w:t>
      </w:r>
      <w:r w:rsidR="00CA55F6" w:rsidRPr="00720A49">
        <w:rPr>
          <w:rFonts w:ascii="Aptos" w:hAnsi="Aptos" w:cs="Arial"/>
        </w:rPr>
        <w:t xml:space="preserve">a </w:t>
      </w:r>
      <w:r w:rsidR="0003394F" w:rsidRPr="00720A49">
        <w:rPr>
          <w:rFonts w:ascii="Aptos" w:hAnsi="Aptos" w:cs="Arial"/>
        </w:rPr>
        <w:t xml:space="preserve">single </w:t>
      </w:r>
      <w:r w:rsidR="00CA55F6" w:rsidRPr="00720A49">
        <w:rPr>
          <w:rFonts w:ascii="Aptos" w:hAnsi="Aptos" w:cs="Arial"/>
        </w:rPr>
        <w:t xml:space="preserve">annual </w:t>
      </w:r>
      <w:r w:rsidR="0003394F" w:rsidRPr="00720A49">
        <w:rPr>
          <w:rFonts w:ascii="Aptos" w:hAnsi="Aptos" w:cs="Arial"/>
        </w:rPr>
        <w:t>avoided energy cost (in $/MWH)</w:t>
      </w:r>
      <w:r w:rsidR="00CA55F6" w:rsidRPr="00720A49">
        <w:rPr>
          <w:rFonts w:ascii="Aptos" w:hAnsi="Aptos" w:cs="Arial"/>
        </w:rPr>
        <w:t>.</w:t>
      </w:r>
      <w:r w:rsidR="0003394F" w:rsidRPr="00720A49">
        <w:rPr>
          <w:rFonts w:ascii="Aptos" w:hAnsi="Aptos" w:cs="Arial"/>
        </w:rPr>
        <w:t xml:space="preserve"> This calculation </w:t>
      </w:r>
      <w:r w:rsidRPr="00720A49">
        <w:rPr>
          <w:rFonts w:ascii="Aptos" w:hAnsi="Aptos" w:cs="Arial"/>
        </w:rPr>
        <w:t>can be</w:t>
      </w:r>
      <w:r w:rsidR="0003394F" w:rsidRPr="00720A49">
        <w:rPr>
          <w:rFonts w:ascii="Aptos" w:hAnsi="Aptos" w:cs="Arial"/>
        </w:rPr>
        <w:t xml:space="preserve"> performed for each year of the</w:t>
      </w:r>
      <w:r w:rsidRPr="00720A49">
        <w:rPr>
          <w:rFonts w:ascii="Aptos" w:hAnsi="Aptos" w:cs="Arial"/>
        </w:rPr>
        <w:t xml:space="preserve"> resource life</w:t>
      </w:r>
      <w:r w:rsidR="0003394F" w:rsidRPr="00720A49">
        <w:rPr>
          <w:rFonts w:ascii="Aptos" w:hAnsi="Aptos" w:cs="Arial"/>
        </w:rPr>
        <w:t>. The equation for this calculation is:</w:t>
      </w:r>
    </w:p>
    <w:p w14:paraId="0D5DAEF7" w14:textId="77777777" w:rsidR="0003394F" w:rsidRPr="00720A49" w:rsidRDefault="0003394F" w:rsidP="0003394F">
      <w:pPr>
        <w:spacing w:after="0" w:line="360" w:lineRule="auto"/>
        <w:ind w:firstLine="720"/>
        <w:rPr>
          <w:rFonts w:ascii="Aptos" w:hAnsi="Aptos" w:cs="Arial"/>
        </w:rPr>
      </w:pPr>
    </w:p>
    <w:p w14:paraId="6FA847DD" w14:textId="2B1278D8" w:rsidR="003356B7" w:rsidRPr="00720A49" w:rsidRDefault="00601F69" w:rsidP="0003394F">
      <w:pPr>
        <w:spacing w:after="0" w:line="360" w:lineRule="auto"/>
        <w:jc w:val="center"/>
        <w:rPr>
          <w:rFonts w:ascii="Aptos" w:eastAsiaTheme="minorEastAsia" w:hAnsi="Aptos" w:cs="Arial"/>
        </w:rPr>
      </w:pPr>
      <w:r w:rsidRPr="00720A49">
        <w:rPr>
          <w:rFonts w:ascii="Aptos" w:hAnsi="Aptos" w:cs="Arial"/>
          <w:i/>
        </w:rPr>
        <w:t xml:space="preserve">Avoided Energy </w:t>
      </w:r>
      <w:proofErr w:type="spellStart"/>
      <w:r w:rsidRPr="00720A49">
        <w:rPr>
          <w:rFonts w:ascii="Aptos" w:hAnsi="Aptos" w:cs="Arial"/>
          <w:i/>
        </w:rPr>
        <w:t>Cost</w:t>
      </w:r>
      <w:r w:rsidR="0003394F" w:rsidRPr="00720A49">
        <w:rPr>
          <w:rFonts w:ascii="Aptos" w:hAnsi="Aptos" w:cs="Arial"/>
          <w:i/>
          <w:vertAlign w:val="subscript"/>
        </w:rPr>
        <w:t>j</w:t>
      </w:r>
      <w:proofErr w:type="spellEnd"/>
      <w:r w:rsidR="0003394F" w:rsidRPr="00720A49">
        <w:rPr>
          <w:rFonts w:ascii="Aptos" w:hAnsi="Aptos" w:cs="Arial"/>
        </w:rPr>
        <w:t xml:space="preserve"> = </w:t>
      </w:r>
      <m:oMath>
        <m:d>
          <m:dPr>
            <m:begChr m:val="["/>
            <m:endChr m:val="]"/>
            <m:ctrlPr>
              <w:rPr>
                <w:rFonts w:ascii="Cambria Math" w:hAnsi="Cambria Math" w:cs="Arial"/>
                <w:i/>
              </w:rPr>
            </m:ctrlPr>
          </m:dPr>
          <m:e>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8760</m:t>
                </m:r>
              </m:sup>
              <m:e>
                <m:r>
                  <w:rPr>
                    <w:rFonts w:ascii="Cambria Math" w:hAnsi="Cambria Math" w:cs="Arial"/>
                  </w:rPr>
                  <m:t>RGP</m:t>
                </m:r>
                <m:d>
                  <m:dPr>
                    <m:ctrlPr>
                      <w:rPr>
                        <w:rFonts w:ascii="Cambria Math" w:hAnsi="Cambria Math" w:cs="Arial"/>
                        <w:i/>
                      </w:rPr>
                    </m:ctrlPr>
                  </m:dPr>
                  <m:e>
                    <m:r>
                      <w:rPr>
                        <w:rFonts w:ascii="Cambria Math" w:hAnsi="Cambria Math" w:cs="Arial"/>
                      </w:rPr>
                      <m:t>i,j</m:t>
                    </m:r>
                  </m:e>
                </m:d>
                <m:r>
                  <w:rPr>
                    <w:rFonts w:ascii="Cambria Math" w:hAnsi="Cambria Math" w:cs="Arial"/>
                  </w:rPr>
                  <m:t xml:space="preserve"> x SAC</m:t>
                </m:r>
                <m:d>
                  <m:dPr>
                    <m:ctrlPr>
                      <w:rPr>
                        <w:rFonts w:ascii="Cambria Math" w:hAnsi="Cambria Math" w:cs="Arial"/>
                        <w:i/>
                      </w:rPr>
                    </m:ctrlPr>
                  </m:dPr>
                  <m:e>
                    <m:r>
                      <w:rPr>
                        <w:rFonts w:ascii="Cambria Math" w:hAnsi="Cambria Math" w:cs="Arial"/>
                      </w:rPr>
                      <m:t>i,j</m:t>
                    </m:r>
                  </m:e>
                </m:d>
              </m:e>
            </m:nary>
          </m:e>
        </m:d>
        <m:r>
          <w:rPr>
            <w:rFonts w:ascii="Cambria Math" w:hAnsi="Cambria Math" w:cs="Arial"/>
          </w:rPr>
          <m:t xml:space="preserve"> / </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8760</m:t>
            </m:r>
          </m:sup>
          <m:e>
            <m:r>
              <w:rPr>
                <w:rFonts w:ascii="Cambria Math" w:hAnsi="Cambria Math" w:cs="Arial"/>
              </w:rPr>
              <m:t>RGP</m:t>
            </m:r>
            <m:d>
              <m:dPr>
                <m:ctrlPr>
                  <w:rPr>
                    <w:rFonts w:ascii="Cambria Math" w:hAnsi="Cambria Math" w:cs="Arial"/>
                    <w:i/>
                  </w:rPr>
                </m:ctrlPr>
              </m:dPr>
              <m:e>
                <m:r>
                  <w:rPr>
                    <w:rFonts w:ascii="Cambria Math" w:hAnsi="Cambria Math" w:cs="Arial"/>
                  </w:rPr>
                  <m:t>i,j</m:t>
                </m:r>
              </m:e>
            </m:d>
          </m:e>
        </m:nary>
      </m:oMath>
    </w:p>
    <w:p w14:paraId="4E866444" w14:textId="28DBDE2C" w:rsidR="0003394F" w:rsidRPr="00720A49" w:rsidRDefault="0003394F" w:rsidP="0003394F">
      <w:pPr>
        <w:spacing w:after="0" w:line="360" w:lineRule="auto"/>
        <w:rPr>
          <w:rFonts w:ascii="Aptos" w:hAnsi="Aptos" w:cs="Arial"/>
        </w:rPr>
      </w:pPr>
      <w:r w:rsidRPr="00720A49">
        <w:rPr>
          <w:rFonts w:ascii="Aptos" w:hAnsi="Aptos" w:cs="Arial"/>
        </w:rPr>
        <w:t>Where</w:t>
      </w:r>
      <w:r w:rsidR="004421FF" w:rsidRPr="00720A49">
        <w:rPr>
          <w:rFonts w:ascii="Aptos" w:hAnsi="Aptos" w:cs="Arial"/>
        </w:rPr>
        <w:t>:</w:t>
      </w:r>
    </w:p>
    <w:p w14:paraId="14C1551B" w14:textId="7EB2B0D6" w:rsidR="0003394F" w:rsidRPr="00720A49" w:rsidRDefault="00601F69" w:rsidP="00A46222">
      <w:pPr>
        <w:spacing w:after="0" w:line="240" w:lineRule="auto"/>
        <w:ind w:left="720"/>
        <w:rPr>
          <w:rFonts w:ascii="Aptos" w:hAnsi="Aptos" w:cs="Arial"/>
        </w:rPr>
      </w:pPr>
      <w:r w:rsidRPr="00720A49">
        <w:rPr>
          <w:rFonts w:ascii="Aptos" w:hAnsi="Aptos" w:cs="Arial"/>
          <w:i/>
        </w:rPr>
        <w:t xml:space="preserve">Avoided Energy </w:t>
      </w:r>
      <w:proofErr w:type="spellStart"/>
      <w:r w:rsidRPr="00720A49">
        <w:rPr>
          <w:rFonts w:ascii="Aptos" w:hAnsi="Aptos" w:cs="Arial"/>
          <w:i/>
        </w:rPr>
        <w:t>Cost</w:t>
      </w:r>
      <w:r w:rsidR="0003394F" w:rsidRPr="00720A49">
        <w:rPr>
          <w:rFonts w:ascii="Aptos" w:hAnsi="Aptos" w:cs="Arial"/>
          <w:i/>
          <w:vertAlign w:val="subscript"/>
        </w:rPr>
        <w:t>j</w:t>
      </w:r>
      <w:proofErr w:type="spellEnd"/>
      <w:r w:rsidR="0003394F" w:rsidRPr="00720A49">
        <w:rPr>
          <w:rFonts w:ascii="Aptos" w:hAnsi="Aptos" w:cs="Arial"/>
        </w:rPr>
        <w:t xml:space="preserve"> = the avoided energy cost in year </w:t>
      </w:r>
      <w:r w:rsidR="0003394F" w:rsidRPr="00720A49">
        <w:rPr>
          <w:rFonts w:ascii="Aptos" w:hAnsi="Aptos" w:cs="Arial"/>
          <w:i/>
        </w:rPr>
        <w:t>j (measured in $/MWH</w:t>
      </w:r>
      <w:proofErr w:type="gramStart"/>
      <w:r w:rsidR="0003394F" w:rsidRPr="00720A49">
        <w:rPr>
          <w:rFonts w:ascii="Aptos" w:hAnsi="Aptos" w:cs="Arial"/>
          <w:i/>
        </w:rPr>
        <w:t>)</w:t>
      </w:r>
      <w:r w:rsidR="006B4906" w:rsidRPr="00720A49">
        <w:rPr>
          <w:rFonts w:ascii="Aptos" w:hAnsi="Aptos" w:cs="Arial"/>
          <w:i/>
        </w:rPr>
        <w:t>;</w:t>
      </w:r>
      <w:proofErr w:type="gramEnd"/>
    </w:p>
    <w:p w14:paraId="57EA9C76" w14:textId="23CF2648" w:rsidR="0003394F" w:rsidRPr="00720A49" w:rsidRDefault="0003394F" w:rsidP="00A46222">
      <w:pPr>
        <w:spacing w:after="0" w:line="240" w:lineRule="auto"/>
        <w:ind w:left="720"/>
        <w:rPr>
          <w:rFonts w:ascii="Aptos" w:hAnsi="Aptos" w:cs="Arial"/>
        </w:rPr>
      </w:pPr>
      <w:r w:rsidRPr="00720A49">
        <w:rPr>
          <w:rFonts w:ascii="Aptos" w:hAnsi="Aptos" w:cs="Arial"/>
          <w:i/>
        </w:rPr>
        <w:t>R</w:t>
      </w:r>
      <w:r w:rsidR="002125A3" w:rsidRPr="00720A49">
        <w:rPr>
          <w:rFonts w:ascii="Aptos" w:hAnsi="Aptos" w:cs="Arial"/>
          <w:i/>
        </w:rPr>
        <w:t>enewable Generation Profile</w:t>
      </w:r>
      <w:r w:rsidRPr="00720A49">
        <w:rPr>
          <w:rFonts w:ascii="Aptos" w:hAnsi="Aptos" w:cs="Arial"/>
          <w:i/>
        </w:rPr>
        <w:t>(</w:t>
      </w:r>
      <w:proofErr w:type="spellStart"/>
      <w:r w:rsidRPr="00720A49">
        <w:rPr>
          <w:rFonts w:ascii="Aptos" w:hAnsi="Aptos" w:cs="Arial"/>
          <w:i/>
        </w:rPr>
        <w:t>i,j</w:t>
      </w:r>
      <w:proofErr w:type="spellEnd"/>
      <w:r w:rsidRPr="00720A49">
        <w:rPr>
          <w:rFonts w:ascii="Aptos" w:hAnsi="Aptos" w:cs="Arial"/>
        </w:rPr>
        <w:t xml:space="preserve">) = the renewable hourly generation profile for hour </w:t>
      </w:r>
      <w:r w:rsidRPr="00720A49">
        <w:rPr>
          <w:rFonts w:ascii="Aptos" w:hAnsi="Aptos" w:cs="Arial"/>
          <w:i/>
        </w:rPr>
        <w:t>i</w:t>
      </w:r>
      <w:r w:rsidRPr="00720A49">
        <w:rPr>
          <w:rFonts w:ascii="Aptos" w:hAnsi="Aptos" w:cs="Arial"/>
        </w:rPr>
        <w:t xml:space="preserve"> in year </w:t>
      </w:r>
      <w:r w:rsidRPr="00720A49">
        <w:rPr>
          <w:rFonts w:ascii="Aptos" w:hAnsi="Aptos" w:cs="Arial"/>
          <w:i/>
        </w:rPr>
        <w:t>j (measured in MWH)</w:t>
      </w:r>
      <w:r w:rsidR="006B4906" w:rsidRPr="00720A49">
        <w:rPr>
          <w:rFonts w:ascii="Aptos" w:hAnsi="Aptos" w:cs="Arial"/>
        </w:rPr>
        <w:t>;</w:t>
      </w:r>
      <w:r w:rsidRPr="00720A49">
        <w:rPr>
          <w:rFonts w:ascii="Aptos" w:hAnsi="Aptos" w:cs="Arial"/>
        </w:rPr>
        <w:t xml:space="preserve"> and</w:t>
      </w:r>
    </w:p>
    <w:p w14:paraId="5E8148C9" w14:textId="5CFC5286" w:rsidR="0003394F" w:rsidRPr="00720A49" w:rsidRDefault="0003394F" w:rsidP="00A46222">
      <w:pPr>
        <w:spacing w:after="0" w:line="240" w:lineRule="auto"/>
        <w:ind w:left="720"/>
        <w:rPr>
          <w:rFonts w:ascii="Aptos" w:hAnsi="Aptos" w:cs="Arial"/>
        </w:rPr>
      </w:pPr>
      <w:r w:rsidRPr="00720A49">
        <w:rPr>
          <w:rFonts w:ascii="Aptos" w:hAnsi="Aptos" w:cs="Arial"/>
          <w:i/>
        </w:rPr>
        <w:t>S</w:t>
      </w:r>
      <w:r w:rsidR="002125A3" w:rsidRPr="00720A49">
        <w:rPr>
          <w:rFonts w:ascii="Aptos" w:hAnsi="Aptos" w:cs="Arial"/>
          <w:i/>
        </w:rPr>
        <w:t>ystem Avoided Cost</w:t>
      </w:r>
      <w:r w:rsidRPr="00720A49">
        <w:rPr>
          <w:rFonts w:ascii="Aptos" w:hAnsi="Aptos" w:cs="Arial"/>
          <w:i/>
        </w:rPr>
        <w:t>(</w:t>
      </w:r>
      <w:proofErr w:type="spellStart"/>
      <w:r w:rsidRPr="00720A49">
        <w:rPr>
          <w:rFonts w:ascii="Aptos" w:hAnsi="Aptos" w:cs="Arial"/>
          <w:i/>
        </w:rPr>
        <w:t>i,j</w:t>
      </w:r>
      <w:proofErr w:type="spellEnd"/>
      <w:r w:rsidRPr="00720A49">
        <w:rPr>
          <w:rFonts w:ascii="Aptos" w:hAnsi="Aptos" w:cs="Arial"/>
          <w:i/>
        </w:rPr>
        <w:t>)</w:t>
      </w:r>
      <w:r w:rsidRPr="00720A49">
        <w:rPr>
          <w:rFonts w:ascii="Aptos" w:hAnsi="Aptos" w:cs="Arial"/>
        </w:rPr>
        <w:t xml:space="preserve"> = the System Avoided Cost for hour </w:t>
      </w:r>
      <w:r w:rsidRPr="00720A49">
        <w:rPr>
          <w:rFonts w:ascii="Aptos" w:hAnsi="Aptos" w:cs="Arial"/>
          <w:i/>
        </w:rPr>
        <w:t>i</w:t>
      </w:r>
      <w:r w:rsidRPr="00720A49">
        <w:rPr>
          <w:rFonts w:ascii="Aptos" w:hAnsi="Aptos" w:cs="Arial"/>
        </w:rPr>
        <w:t xml:space="preserve"> in year </w:t>
      </w:r>
      <w:r w:rsidRPr="00720A49">
        <w:rPr>
          <w:rFonts w:ascii="Aptos" w:hAnsi="Aptos" w:cs="Arial"/>
          <w:i/>
        </w:rPr>
        <w:t>j (measured in $/MWH).</w:t>
      </w:r>
    </w:p>
    <w:p w14:paraId="6FB22F1F" w14:textId="5B55F5B5" w:rsidR="007E7908" w:rsidRPr="00720A49" w:rsidRDefault="007E7908" w:rsidP="00FF3E25">
      <w:pPr>
        <w:jc w:val="both"/>
        <w:rPr>
          <w:rFonts w:ascii="Aptos" w:hAnsi="Aptos" w:cs="Arial"/>
        </w:rPr>
      </w:pPr>
      <w:r w:rsidRPr="00720A49">
        <w:rPr>
          <w:rFonts w:ascii="Aptos" w:hAnsi="Aptos" w:cs="Arial"/>
        </w:rPr>
        <w:t xml:space="preserve">Renewable resource Avoided Energy Costs can also be derived directly from a production cost model. The system can be simulated in the model both without the renewable resource and with the renewable resource. The reduction in system production cost between the two simulations represents the Avoided Energy Costs of the resource. This value can be divided by the renewable resource generation (in MWh) to produce a $/MWh value. </w:t>
      </w:r>
    </w:p>
    <w:p w14:paraId="3AF26AAF" w14:textId="77777777" w:rsidR="0003394F" w:rsidRPr="00720A49" w:rsidRDefault="0003394F" w:rsidP="00935E4F">
      <w:pPr>
        <w:pStyle w:val="Heading2"/>
        <w:rPr>
          <w:rFonts w:ascii="Aptos" w:hAnsi="Aptos"/>
        </w:rPr>
      </w:pPr>
      <w:bookmarkStart w:id="25" w:name="_Hlk83718306"/>
      <w:r w:rsidRPr="00720A49">
        <w:rPr>
          <w:rFonts w:ascii="Aptos" w:hAnsi="Aptos"/>
        </w:rPr>
        <w:t>Deferred Generation Capacity Costs</w:t>
      </w:r>
    </w:p>
    <w:bookmarkEnd w:id="25"/>
    <w:p w14:paraId="1D86A05C" w14:textId="4F437061" w:rsidR="0003394F" w:rsidRPr="00720A49" w:rsidRDefault="007E7908" w:rsidP="00FF3E25">
      <w:pPr>
        <w:jc w:val="both"/>
        <w:rPr>
          <w:rFonts w:ascii="Aptos" w:hAnsi="Aptos" w:cs="Arial"/>
        </w:rPr>
      </w:pPr>
      <w:r w:rsidRPr="00720A49">
        <w:rPr>
          <w:rFonts w:ascii="Aptos" w:hAnsi="Aptos" w:cs="Arial"/>
        </w:rPr>
        <w:t>Deferred Generation Capacity Costs are a function of the renewable resource</w:t>
      </w:r>
      <w:r w:rsidR="004C325A" w:rsidRPr="00720A49">
        <w:rPr>
          <w:rFonts w:ascii="Aptos" w:hAnsi="Aptos" w:cs="Arial"/>
        </w:rPr>
        <w:t>’</w:t>
      </w:r>
      <w:r w:rsidRPr="00720A49">
        <w:rPr>
          <w:rFonts w:ascii="Aptos" w:hAnsi="Aptos" w:cs="Arial"/>
        </w:rPr>
        <w:t xml:space="preserve">s contribution to system reliability. Assessing </w:t>
      </w:r>
      <w:r w:rsidR="00A46222" w:rsidRPr="00720A49">
        <w:rPr>
          <w:rFonts w:ascii="Aptos" w:hAnsi="Aptos" w:cs="Arial"/>
        </w:rPr>
        <w:t xml:space="preserve">a </w:t>
      </w:r>
      <w:r w:rsidRPr="00720A49">
        <w:rPr>
          <w:rFonts w:ascii="Aptos" w:hAnsi="Aptos" w:cs="Arial"/>
        </w:rPr>
        <w:t xml:space="preserve">resource contribution to reliability requires the determination of an ELCC. </w:t>
      </w:r>
      <w:r w:rsidR="0003394F" w:rsidRPr="00720A49">
        <w:rPr>
          <w:rFonts w:ascii="Aptos" w:hAnsi="Aptos" w:cs="Arial"/>
        </w:rPr>
        <w:t xml:space="preserve"> </w:t>
      </w:r>
      <w:r w:rsidR="008E2101" w:rsidRPr="00720A49">
        <w:rPr>
          <w:rFonts w:ascii="Aptos" w:hAnsi="Aptos" w:cs="Arial"/>
        </w:rPr>
        <w:t xml:space="preserve">The </w:t>
      </w:r>
      <w:r w:rsidR="00A46222" w:rsidRPr="00720A49">
        <w:rPr>
          <w:rFonts w:ascii="Aptos" w:hAnsi="Aptos" w:cs="Arial"/>
        </w:rPr>
        <w:t xml:space="preserve">ELCC </w:t>
      </w:r>
      <w:r w:rsidR="008E2101" w:rsidRPr="00720A49">
        <w:rPr>
          <w:rFonts w:ascii="Aptos" w:hAnsi="Aptos" w:cs="Arial"/>
        </w:rPr>
        <w:t xml:space="preserve">(in MW) must be derived in a system-reliability planning and production cost model. The </w:t>
      </w:r>
      <w:r w:rsidR="0003394F" w:rsidRPr="00720A49">
        <w:rPr>
          <w:rFonts w:ascii="Aptos" w:hAnsi="Aptos" w:cs="Arial"/>
        </w:rPr>
        <w:t xml:space="preserve">capacity </w:t>
      </w:r>
      <w:r w:rsidR="008E2101" w:rsidRPr="00720A49">
        <w:rPr>
          <w:rFonts w:ascii="Aptos" w:hAnsi="Aptos" w:cs="Arial"/>
        </w:rPr>
        <w:t xml:space="preserve">equivalence measurement </w:t>
      </w:r>
      <w:r w:rsidR="0003394F" w:rsidRPr="00720A49">
        <w:rPr>
          <w:rFonts w:ascii="Aptos" w:hAnsi="Aptos" w:cs="Arial"/>
        </w:rPr>
        <w:t xml:space="preserve">(in MW) is then multiplied by the value of generation capacity deferred, which includes </w:t>
      </w:r>
      <w:r w:rsidR="00115E38" w:rsidRPr="00720A49">
        <w:rPr>
          <w:rFonts w:ascii="Aptos" w:hAnsi="Aptos" w:cs="Arial"/>
        </w:rPr>
        <w:t>FOM</w:t>
      </w:r>
      <w:r w:rsidR="0003394F" w:rsidRPr="00720A49">
        <w:rPr>
          <w:rFonts w:ascii="Aptos" w:hAnsi="Aptos" w:cs="Arial"/>
        </w:rPr>
        <w:t xml:space="preserve"> impacts</w:t>
      </w:r>
      <w:r w:rsidR="00C3384A" w:rsidRPr="00720A49">
        <w:rPr>
          <w:rFonts w:ascii="Aptos" w:hAnsi="Aptos" w:cs="Arial"/>
        </w:rPr>
        <w:t>,</w:t>
      </w:r>
      <w:r w:rsidR="0003394F" w:rsidRPr="00720A49">
        <w:rPr>
          <w:rFonts w:ascii="Aptos" w:hAnsi="Aptos" w:cs="Arial"/>
        </w:rPr>
        <w:t xml:space="preserve"> to calculate the </w:t>
      </w:r>
      <w:r w:rsidR="00BF5E32" w:rsidRPr="00720A49">
        <w:rPr>
          <w:rFonts w:ascii="Aptos" w:hAnsi="Aptos" w:cs="Arial"/>
        </w:rPr>
        <w:t xml:space="preserve">annual </w:t>
      </w:r>
      <w:r w:rsidR="0003394F" w:rsidRPr="00720A49">
        <w:rPr>
          <w:rFonts w:ascii="Aptos" w:hAnsi="Aptos" w:cs="Arial"/>
        </w:rPr>
        <w:t>total deferred generation capacity benefit.  The formulas for the above calculations are:</w:t>
      </w:r>
    </w:p>
    <w:p w14:paraId="50C2B77F" w14:textId="357B3F91" w:rsidR="0003394F" w:rsidRPr="00720A49" w:rsidRDefault="0003394F" w:rsidP="658668C2">
      <w:pPr>
        <w:spacing w:after="0" w:line="360" w:lineRule="auto"/>
        <w:jc w:val="center"/>
        <w:rPr>
          <w:rFonts w:ascii="Aptos" w:hAnsi="Aptos" w:cs="Arial"/>
          <w:i/>
          <w:iCs/>
        </w:rPr>
      </w:pPr>
      <w:r w:rsidRPr="00720A49">
        <w:rPr>
          <w:rFonts w:ascii="Aptos" w:hAnsi="Aptos" w:cs="Arial"/>
          <w:i/>
          <w:iCs/>
        </w:rPr>
        <w:t xml:space="preserve">Deferred Capacity </w:t>
      </w:r>
      <w:proofErr w:type="spellStart"/>
      <w:r w:rsidRPr="00720A49">
        <w:rPr>
          <w:rFonts w:ascii="Aptos" w:hAnsi="Aptos" w:cs="Arial"/>
          <w:i/>
          <w:iCs/>
        </w:rPr>
        <w:t>Cost</w:t>
      </w:r>
      <w:r w:rsidRPr="00720A49">
        <w:rPr>
          <w:rFonts w:ascii="Aptos" w:hAnsi="Aptos" w:cs="Arial"/>
          <w:i/>
          <w:iCs/>
          <w:vertAlign w:val="subscript"/>
        </w:rPr>
        <w:t>j</w:t>
      </w:r>
      <w:proofErr w:type="spellEnd"/>
      <w:r w:rsidRPr="00720A49">
        <w:rPr>
          <w:rFonts w:ascii="Aptos" w:hAnsi="Aptos" w:cs="Arial"/>
          <w:i/>
          <w:iCs/>
        </w:rPr>
        <w:t xml:space="preserve"> = Capacity </w:t>
      </w:r>
      <w:proofErr w:type="spellStart"/>
      <w:r w:rsidRPr="00720A49">
        <w:rPr>
          <w:rFonts w:ascii="Aptos" w:hAnsi="Aptos" w:cs="Arial"/>
          <w:i/>
          <w:iCs/>
        </w:rPr>
        <w:t>Value</w:t>
      </w:r>
      <w:r w:rsidRPr="00720A49">
        <w:rPr>
          <w:rFonts w:ascii="Aptos" w:hAnsi="Aptos" w:cs="Arial"/>
          <w:i/>
          <w:iCs/>
          <w:vertAlign w:val="subscript"/>
        </w:rPr>
        <w:t>j</w:t>
      </w:r>
      <w:proofErr w:type="spellEnd"/>
      <w:r w:rsidRPr="00720A49">
        <w:rPr>
          <w:rFonts w:ascii="Aptos" w:hAnsi="Aptos" w:cs="Arial"/>
          <w:i/>
          <w:iCs/>
        </w:rPr>
        <w:t xml:space="preserve"> x Capacity </w:t>
      </w:r>
      <w:proofErr w:type="spellStart"/>
      <w:r w:rsidRPr="00720A49">
        <w:rPr>
          <w:rFonts w:ascii="Aptos" w:hAnsi="Aptos" w:cs="Arial"/>
          <w:i/>
          <w:iCs/>
        </w:rPr>
        <w:t>Equivalence</w:t>
      </w:r>
      <w:r w:rsidRPr="00720A49">
        <w:rPr>
          <w:rFonts w:ascii="Aptos" w:hAnsi="Aptos" w:cs="Arial"/>
          <w:i/>
          <w:iCs/>
          <w:vertAlign w:val="subscript"/>
        </w:rPr>
        <w:t>j</w:t>
      </w:r>
      <w:proofErr w:type="spellEnd"/>
    </w:p>
    <w:p w14:paraId="590672D1" w14:textId="15E70ED6" w:rsidR="0003394F" w:rsidRPr="00720A49" w:rsidRDefault="0003394F" w:rsidP="0003394F">
      <w:pPr>
        <w:spacing w:after="0" w:line="360" w:lineRule="auto"/>
        <w:rPr>
          <w:rFonts w:ascii="Aptos" w:hAnsi="Aptos" w:cs="Arial"/>
        </w:rPr>
      </w:pPr>
      <w:r w:rsidRPr="00720A49">
        <w:rPr>
          <w:rFonts w:ascii="Aptos" w:hAnsi="Aptos" w:cs="Arial"/>
        </w:rPr>
        <w:t>Where</w:t>
      </w:r>
      <w:r w:rsidR="004421FF" w:rsidRPr="00720A49">
        <w:rPr>
          <w:rFonts w:ascii="Aptos" w:hAnsi="Aptos" w:cs="Arial"/>
        </w:rPr>
        <w:t>:</w:t>
      </w:r>
    </w:p>
    <w:p w14:paraId="676F9ED4" w14:textId="42C4D40A" w:rsidR="0003394F" w:rsidRPr="00720A49" w:rsidRDefault="0003394F" w:rsidP="00A46222">
      <w:pPr>
        <w:spacing w:after="0" w:line="240" w:lineRule="auto"/>
        <w:ind w:left="720"/>
        <w:rPr>
          <w:rFonts w:ascii="Aptos" w:hAnsi="Aptos" w:cs="Arial"/>
        </w:rPr>
      </w:pPr>
      <w:r w:rsidRPr="00720A49">
        <w:rPr>
          <w:rFonts w:ascii="Aptos" w:hAnsi="Aptos" w:cs="Arial"/>
          <w:i/>
        </w:rPr>
        <w:t xml:space="preserve">Deferred Capacity </w:t>
      </w:r>
      <w:proofErr w:type="spellStart"/>
      <w:r w:rsidRPr="00720A49">
        <w:rPr>
          <w:rFonts w:ascii="Aptos" w:hAnsi="Aptos" w:cs="Arial"/>
          <w:i/>
        </w:rPr>
        <w:t>Cost</w:t>
      </w:r>
      <w:r w:rsidRPr="00720A49">
        <w:rPr>
          <w:rFonts w:ascii="Aptos" w:hAnsi="Aptos" w:cs="Arial"/>
          <w:i/>
          <w:vertAlign w:val="subscript"/>
        </w:rPr>
        <w:t>j</w:t>
      </w:r>
      <w:proofErr w:type="spellEnd"/>
      <w:r w:rsidRPr="00720A49">
        <w:rPr>
          <w:rFonts w:ascii="Aptos" w:hAnsi="Aptos" w:cs="Arial"/>
        </w:rPr>
        <w:t xml:space="preserve"> = Deferred Capacity Costs in year </w:t>
      </w:r>
      <w:r w:rsidRPr="00720A49">
        <w:rPr>
          <w:rFonts w:ascii="Aptos" w:hAnsi="Aptos" w:cs="Arial"/>
          <w:i/>
        </w:rPr>
        <w:t>j (measured in $</w:t>
      </w:r>
      <w:proofErr w:type="gramStart"/>
      <w:r w:rsidRPr="00720A49">
        <w:rPr>
          <w:rFonts w:ascii="Aptos" w:hAnsi="Aptos" w:cs="Arial"/>
          <w:i/>
        </w:rPr>
        <w:t>)</w:t>
      </w:r>
      <w:r w:rsidR="006B4906" w:rsidRPr="00720A49">
        <w:rPr>
          <w:rFonts w:ascii="Aptos" w:hAnsi="Aptos" w:cs="Arial"/>
          <w:i/>
        </w:rPr>
        <w:t>;</w:t>
      </w:r>
      <w:proofErr w:type="gramEnd"/>
    </w:p>
    <w:p w14:paraId="402D223A" w14:textId="140763FE" w:rsidR="0003394F" w:rsidRPr="00720A49" w:rsidRDefault="0003394F" w:rsidP="00A46222">
      <w:pPr>
        <w:spacing w:after="0" w:line="240" w:lineRule="auto"/>
        <w:ind w:left="720"/>
        <w:rPr>
          <w:rFonts w:ascii="Aptos" w:hAnsi="Aptos" w:cs="Arial"/>
        </w:rPr>
      </w:pPr>
      <w:r w:rsidRPr="00720A49">
        <w:rPr>
          <w:rFonts w:ascii="Aptos" w:hAnsi="Aptos" w:cs="Arial"/>
          <w:i/>
        </w:rPr>
        <w:t xml:space="preserve">Capacity </w:t>
      </w:r>
      <w:proofErr w:type="spellStart"/>
      <w:r w:rsidRPr="00720A49">
        <w:rPr>
          <w:rFonts w:ascii="Aptos" w:hAnsi="Aptos" w:cs="Arial"/>
          <w:i/>
        </w:rPr>
        <w:t>Value</w:t>
      </w:r>
      <w:r w:rsidRPr="00720A49">
        <w:rPr>
          <w:rFonts w:ascii="Aptos" w:hAnsi="Aptos" w:cs="Arial"/>
          <w:i/>
          <w:vertAlign w:val="subscript"/>
        </w:rPr>
        <w:t>j</w:t>
      </w:r>
      <w:proofErr w:type="spellEnd"/>
      <w:r w:rsidRPr="00720A49">
        <w:rPr>
          <w:rFonts w:ascii="Aptos" w:hAnsi="Aptos" w:cs="Arial"/>
        </w:rPr>
        <w:t xml:space="preserve"> = value of deferred generation capacity in year </w:t>
      </w:r>
      <w:r w:rsidRPr="00720A49">
        <w:rPr>
          <w:rFonts w:ascii="Aptos" w:hAnsi="Aptos" w:cs="Arial"/>
          <w:i/>
        </w:rPr>
        <w:t>j</w:t>
      </w:r>
      <w:r w:rsidRPr="00720A49">
        <w:rPr>
          <w:rFonts w:ascii="Aptos" w:hAnsi="Aptos" w:cs="Arial"/>
        </w:rPr>
        <w:t xml:space="preserve"> (measured in $/kW)</w:t>
      </w:r>
      <w:r w:rsidR="006B4906" w:rsidRPr="00720A49">
        <w:rPr>
          <w:rFonts w:ascii="Aptos" w:hAnsi="Aptos" w:cs="Arial"/>
        </w:rPr>
        <w:t>;</w:t>
      </w:r>
      <w:r w:rsidRPr="00720A49">
        <w:rPr>
          <w:rFonts w:ascii="Aptos" w:hAnsi="Aptos" w:cs="Arial"/>
        </w:rPr>
        <w:t xml:space="preserve"> and</w:t>
      </w:r>
    </w:p>
    <w:p w14:paraId="606153F0" w14:textId="410B7E13" w:rsidR="0003394F" w:rsidRPr="00720A49" w:rsidRDefault="0003394F" w:rsidP="00004339">
      <w:pPr>
        <w:spacing w:after="0" w:line="240" w:lineRule="auto"/>
        <w:ind w:left="720"/>
        <w:rPr>
          <w:rFonts w:ascii="Aptos" w:hAnsi="Aptos" w:cs="Arial"/>
        </w:rPr>
      </w:pPr>
      <w:r w:rsidRPr="00720A49">
        <w:rPr>
          <w:rFonts w:ascii="Aptos" w:hAnsi="Aptos" w:cs="Arial"/>
          <w:i/>
        </w:rPr>
        <w:t xml:space="preserve">Capacity </w:t>
      </w:r>
      <w:proofErr w:type="spellStart"/>
      <w:r w:rsidRPr="00720A49">
        <w:rPr>
          <w:rFonts w:ascii="Aptos" w:hAnsi="Aptos" w:cs="Arial"/>
          <w:i/>
        </w:rPr>
        <w:t>Equivalence</w:t>
      </w:r>
      <w:r w:rsidRPr="00720A49">
        <w:rPr>
          <w:rFonts w:ascii="Aptos" w:hAnsi="Aptos" w:cs="Arial"/>
          <w:i/>
          <w:vertAlign w:val="subscript"/>
        </w:rPr>
        <w:t>j</w:t>
      </w:r>
      <w:proofErr w:type="spellEnd"/>
      <w:r w:rsidRPr="00720A49">
        <w:rPr>
          <w:rFonts w:ascii="Aptos" w:hAnsi="Aptos" w:cs="Arial"/>
        </w:rPr>
        <w:t xml:space="preserve"> = capacity equivalence in year j as defined by</w:t>
      </w:r>
      <w:r w:rsidR="008E2101" w:rsidRPr="00720A49">
        <w:rPr>
          <w:rFonts w:ascii="Aptos" w:hAnsi="Aptos" w:cs="Arial"/>
        </w:rPr>
        <w:t xml:space="preserve"> the ELCC of the resource. </w:t>
      </w:r>
    </w:p>
    <w:p w14:paraId="7CB50C98" w14:textId="0965CFCC" w:rsidR="0003394F" w:rsidRPr="00720A49" w:rsidRDefault="00D74FE4" w:rsidP="00935E4F">
      <w:pPr>
        <w:pStyle w:val="Heading2"/>
        <w:rPr>
          <w:rFonts w:ascii="Aptos" w:hAnsi="Aptos"/>
        </w:rPr>
      </w:pPr>
      <w:bookmarkStart w:id="26" w:name="_Hlk83718314"/>
      <w:bookmarkStart w:id="27" w:name="_Hlk82770769"/>
      <w:r w:rsidRPr="00720A49">
        <w:rPr>
          <w:rFonts w:ascii="Aptos" w:hAnsi="Aptos"/>
        </w:rPr>
        <w:lastRenderedPageBreak/>
        <w:t xml:space="preserve">Locational </w:t>
      </w:r>
      <w:r w:rsidR="0003394F" w:rsidRPr="00720A49">
        <w:rPr>
          <w:rFonts w:ascii="Aptos" w:hAnsi="Aptos"/>
        </w:rPr>
        <w:t xml:space="preserve">Transmission </w:t>
      </w:r>
      <w:r w:rsidRPr="00720A49">
        <w:rPr>
          <w:rFonts w:ascii="Aptos" w:hAnsi="Aptos"/>
        </w:rPr>
        <w:t>Value</w:t>
      </w:r>
    </w:p>
    <w:bookmarkEnd w:id="26"/>
    <w:p w14:paraId="4C1675AC" w14:textId="22B1908B" w:rsidR="0003394F" w:rsidRPr="00720A49" w:rsidRDefault="0003394F" w:rsidP="00FF3E25">
      <w:pPr>
        <w:jc w:val="both"/>
        <w:rPr>
          <w:rFonts w:ascii="Aptos" w:hAnsi="Aptos" w:cs="Arial"/>
        </w:rPr>
      </w:pPr>
      <w:r w:rsidRPr="00720A49">
        <w:rPr>
          <w:rFonts w:ascii="Aptos" w:hAnsi="Aptos" w:cs="Arial"/>
        </w:rPr>
        <w:t xml:space="preserve">The size and </w:t>
      </w:r>
      <w:r w:rsidR="00293F6B" w:rsidRPr="00720A49">
        <w:rPr>
          <w:rFonts w:ascii="Aptos" w:hAnsi="Aptos" w:cs="Arial"/>
        </w:rPr>
        <w:t xml:space="preserve">various </w:t>
      </w:r>
      <w:r w:rsidRPr="00720A49">
        <w:rPr>
          <w:rFonts w:ascii="Aptos" w:hAnsi="Aptos" w:cs="Arial"/>
        </w:rPr>
        <w:t>location</w:t>
      </w:r>
      <w:r w:rsidR="00293F6B" w:rsidRPr="00720A49">
        <w:rPr>
          <w:rFonts w:ascii="Aptos" w:hAnsi="Aptos" w:cs="Arial"/>
        </w:rPr>
        <w:t>s</w:t>
      </w:r>
      <w:r w:rsidRPr="00720A49">
        <w:rPr>
          <w:rFonts w:ascii="Aptos" w:hAnsi="Aptos" w:cs="Arial"/>
        </w:rPr>
        <w:t xml:space="preserve"> of </w:t>
      </w:r>
      <w:r w:rsidR="00221069" w:rsidRPr="00720A49">
        <w:rPr>
          <w:rFonts w:ascii="Aptos" w:hAnsi="Aptos" w:cs="Arial"/>
        </w:rPr>
        <w:t>DG</w:t>
      </w:r>
      <w:r w:rsidRPr="00720A49">
        <w:rPr>
          <w:rFonts w:ascii="Aptos" w:hAnsi="Aptos" w:cs="Arial"/>
        </w:rPr>
        <w:t xml:space="preserve"> </w:t>
      </w:r>
      <w:r w:rsidR="153C7B43" w:rsidRPr="00720A49">
        <w:rPr>
          <w:rFonts w:ascii="Aptos" w:hAnsi="Aptos" w:cs="Arial"/>
        </w:rPr>
        <w:t xml:space="preserve">resources </w:t>
      </w:r>
      <w:r w:rsidRPr="00720A49">
        <w:rPr>
          <w:rFonts w:ascii="Aptos" w:hAnsi="Aptos" w:cs="Arial"/>
        </w:rPr>
        <w:t xml:space="preserve">should be evaluated in a system-wide study based on assumed future DG </w:t>
      </w:r>
      <w:r w:rsidR="005E1797" w:rsidRPr="00720A49">
        <w:rPr>
          <w:rFonts w:ascii="Aptos" w:hAnsi="Aptos" w:cs="Arial"/>
        </w:rPr>
        <w:t>levels</w:t>
      </w:r>
      <w:r w:rsidRPr="00720A49">
        <w:rPr>
          <w:rFonts w:ascii="Aptos" w:hAnsi="Aptos" w:cs="Arial"/>
        </w:rPr>
        <w:t xml:space="preserve">. The </w:t>
      </w:r>
      <w:r w:rsidR="003D5E81" w:rsidRPr="00720A49">
        <w:rPr>
          <w:rFonts w:ascii="Aptos" w:hAnsi="Aptos" w:cs="Arial"/>
        </w:rPr>
        <w:t>location</w:t>
      </w:r>
      <w:r w:rsidR="75C16E3D" w:rsidRPr="00720A49">
        <w:rPr>
          <w:rFonts w:ascii="Aptos" w:hAnsi="Aptos" w:cs="Arial"/>
        </w:rPr>
        <w:t>al</w:t>
      </w:r>
      <w:r w:rsidR="003D5E81" w:rsidRPr="00720A49">
        <w:rPr>
          <w:rFonts w:ascii="Aptos" w:hAnsi="Aptos" w:cs="Arial"/>
        </w:rPr>
        <w:t xml:space="preserve"> transmission value</w:t>
      </w:r>
      <w:r w:rsidRPr="00720A49">
        <w:rPr>
          <w:rFonts w:ascii="Aptos" w:hAnsi="Aptos" w:cs="Arial"/>
        </w:rPr>
        <w:t xml:space="preserve"> associated with the addition of DG </w:t>
      </w:r>
      <w:r w:rsidR="641459B4" w:rsidRPr="00720A49">
        <w:rPr>
          <w:rFonts w:ascii="Aptos" w:hAnsi="Aptos" w:cs="Arial"/>
        </w:rPr>
        <w:t>resources</w:t>
      </w:r>
      <w:r w:rsidRPr="00720A49">
        <w:rPr>
          <w:rFonts w:ascii="Aptos" w:hAnsi="Aptos" w:cs="Arial"/>
        </w:rPr>
        <w:t xml:space="preserve"> </w:t>
      </w:r>
      <w:r w:rsidR="166816DD" w:rsidRPr="00720A49">
        <w:rPr>
          <w:rFonts w:ascii="Aptos" w:hAnsi="Aptos" w:cs="Arial"/>
        </w:rPr>
        <w:t>is</w:t>
      </w:r>
      <w:r w:rsidRPr="00720A49">
        <w:rPr>
          <w:rFonts w:ascii="Aptos" w:hAnsi="Aptos" w:cs="Arial"/>
        </w:rPr>
        <w:t xml:space="preserve"> determined by evaluating two alternative future system scenarios, one with and one without additional DG</w:t>
      </w:r>
      <w:r w:rsidR="559B1A15" w:rsidRPr="00720A49">
        <w:rPr>
          <w:rFonts w:ascii="Aptos" w:hAnsi="Aptos" w:cs="Arial"/>
        </w:rPr>
        <w:t xml:space="preserve"> resources</w:t>
      </w:r>
      <w:r w:rsidR="00C167FF" w:rsidRPr="00720A49">
        <w:rPr>
          <w:rFonts w:ascii="Aptos" w:hAnsi="Aptos" w:cs="Arial"/>
        </w:rPr>
        <w:t xml:space="preserve"> for each identified geographic region</w:t>
      </w:r>
      <w:r w:rsidR="00505F13" w:rsidRPr="00720A49">
        <w:rPr>
          <w:rFonts w:ascii="Aptos" w:hAnsi="Aptos" w:cs="Arial"/>
        </w:rPr>
        <w:t xml:space="preserve">. </w:t>
      </w:r>
      <w:r w:rsidR="00293F6B" w:rsidRPr="00720A49">
        <w:rPr>
          <w:rFonts w:ascii="Aptos" w:hAnsi="Aptos" w:cs="Arial"/>
        </w:rPr>
        <w:t>T</w:t>
      </w:r>
      <w:r w:rsidRPr="00720A49">
        <w:rPr>
          <w:rFonts w:ascii="Aptos" w:hAnsi="Aptos" w:cs="Arial"/>
        </w:rPr>
        <w:t xml:space="preserve">he transmission investments and in-service timing of projects </w:t>
      </w:r>
      <w:r w:rsidR="00293F6B" w:rsidRPr="00720A49">
        <w:rPr>
          <w:rFonts w:ascii="Aptos" w:hAnsi="Aptos" w:cs="Arial"/>
        </w:rPr>
        <w:t xml:space="preserve">are determined </w:t>
      </w:r>
      <w:r w:rsidR="00505F13" w:rsidRPr="00720A49">
        <w:rPr>
          <w:rFonts w:ascii="Aptos" w:hAnsi="Aptos" w:cs="Arial"/>
        </w:rPr>
        <w:t>for each scenario</w:t>
      </w:r>
      <w:r w:rsidR="00D66656" w:rsidRPr="00720A49">
        <w:rPr>
          <w:rFonts w:ascii="Aptos" w:hAnsi="Aptos" w:cs="Arial"/>
        </w:rPr>
        <w:t xml:space="preserve">’s study horizon. </w:t>
      </w:r>
      <w:r w:rsidRPr="00720A49">
        <w:rPr>
          <w:rFonts w:ascii="Aptos" w:hAnsi="Aptos" w:cs="Arial"/>
        </w:rPr>
        <w:t xml:space="preserve">The DG analysis is performed </w:t>
      </w:r>
      <w:r w:rsidR="00293F6B" w:rsidRPr="00720A49">
        <w:rPr>
          <w:rFonts w:ascii="Aptos" w:hAnsi="Aptos" w:cs="Arial"/>
        </w:rPr>
        <w:t>based on</w:t>
      </w:r>
      <w:r w:rsidRPr="00720A49">
        <w:rPr>
          <w:rFonts w:ascii="Aptos" w:hAnsi="Aptos" w:cs="Arial"/>
        </w:rPr>
        <w:t xml:space="preserve"> traditional transmission expansion planning</w:t>
      </w:r>
      <w:r w:rsidR="00293F6B" w:rsidRPr="00720A49">
        <w:rPr>
          <w:rFonts w:ascii="Aptos" w:hAnsi="Aptos" w:cs="Arial"/>
        </w:rPr>
        <w:t xml:space="preserve">, focusing on </w:t>
      </w:r>
      <w:r w:rsidR="004527DC" w:rsidRPr="00720A49">
        <w:rPr>
          <w:rFonts w:ascii="Aptos" w:hAnsi="Aptos" w:cs="Arial"/>
        </w:rPr>
        <w:t xml:space="preserve">how </w:t>
      </w:r>
      <w:r w:rsidR="00BF5E32" w:rsidRPr="00720A49">
        <w:rPr>
          <w:rFonts w:ascii="Aptos" w:hAnsi="Aptos" w:cs="Arial"/>
        </w:rPr>
        <w:t xml:space="preserve">DG </w:t>
      </w:r>
      <w:r w:rsidR="6F41DEC0" w:rsidRPr="00720A49">
        <w:rPr>
          <w:rFonts w:ascii="Aptos" w:hAnsi="Aptos" w:cs="Arial"/>
        </w:rPr>
        <w:t xml:space="preserve">resources </w:t>
      </w:r>
      <w:r w:rsidR="00BF5E32" w:rsidRPr="00720A49">
        <w:rPr>
          <w:rFonts w:ascii="Aptos" w:hAnsi="Aptos" w:cs="Arial"/>
        </w:rPr>
        <w:t>impact the required in-service date of any identified projects.</w:t>
      </w:r>
    </w:p>
    <w:p w14:paraId="14AD1F74" w14:textId="74FFE6F4" w:rsidR="0003394F" w:rsidRPr="00720A49" w:rsidRDefault="00354B0B" w:rsidP="00FF3E25">
      <w:pPr>
        <w:jc w:val="both"/>
        <w:rPr>
          <w:rFonts w:ascii="Aptos" w:hAnsi="Aptos" w:cs="Arial"/>
          <w:noProof/>
        </w:rPr>
      </w:pPr>
      <w:r w:rsidRPr="00720A49">
        <w:rPr>
          <w:rFonts w:ascii="Aptos" w:hAnsi="Aptos" w:cs="Arial"/>
        </w:rPr>
        <w:t xml:space="preserve">Transmission Planning models are created to simulate future system conditions. These models include an average projected future load growth and generation. </w:t>
      </w:r>
      <w:r w:rsidR="00293F6B" w:rsidRPr="00720A49">
        <w:rPr>
          <w:rFonts w:ascii="Aptos" w:hAnsi="Aptos" w:cs="Arial"/>
        </w:rPr>
        <w:t>F</w:t>
      </w:r>
      <w:r w:rsidR="0003394F" w:rsidRPr="00720A49">
        <w:rPr>
          <w:rFonts w:ascii="Aptos" w:hAnsi="Aptos" w:cs="Arial"/>
        </w:rPr>
        <w:t xml:space="preserve">uture generation to serve future load growth over the </w:t>
      </w:r>
      <w:r w:rsidR="00221069" w:rsidRPr="00720A49">
        <w:rPr>
          <w:rFonts w:ascii="Aptos" w:hAnsi="Aptos" w:cs="Arial"/>
        </w:rPr>
        <w:t>longer-term</w:t>
      </w:r>
      <w:r w:rsidR="0003394F" w:rsidRPr="00720A49">
        <w:rPr>
          <w:rFonts w:ascii="Aptos" w:hAnsi="Aptos" w:cs="Arial"/>
        </w:rPr>
        <w:t xml:space="preserve"> study period </w:t>
      </w:r>
      <w:r w:rsidR="00293F6B" w:rsidRPr="00720A49">
        <w:rPr>
          <w:rFonts w:ascii="Aptos" w:hAnsi="Aptos" w:cs="Arial"/>
        </w:rPr>
        <w:t>is not</w:t>
      </w:r>
      <w:r w:rsidR="0003394F" w:rsidRPr="00720A49">
        <w:rPr>
          <w:rFonts w:ascii="Aptos" w:hAnsi="Aptos" w:cs="Arial"/>
        </w:rPr>
        <w:t xml:space="preserve"> determined, </w:t>
      </w:r>
      <w:r w:rsidR="00293F6B" w:rsidRPr="00720A49">
        <w:rPr>
          <w:rFonts w:ascii="Aptos" w:hAnsi="Aptos" w:cs="Arial"/>
        </w:rPr>
        <w:t xml:space="preserve">so the location and size of </w:t>
      </w:r>
      <w:r w:rsidR="00BF5E32" w:rsidRPr="00720A49">
        <w:rPr>
          <w:rFonts w:ascii="Aptos" w:hAnsi="Aptos" w:cs="Arial"/>
        </w:rPr>
        <w:t xml:space="preserve">any future generation </w:t>
      </w:r>
      <w:r w:rsidR="0003394F" w:rsidRPr="00720A49">
        <w:rPr>
          <w:rFonts w:ascii="Aptos" w:hAnsi="Aptos" w:cs="Arial"/>
        </w:rPr>
        <w:t xml:space="preserve">is speculative and uncertain. </w:t>
      </w:r>
      <w:r w:rsidR="00293F6B" w:rsidRPr="00720A49">
        <w:rPr>
          <w:rFonts w:ascii="Aptos" w:hAnsi="Aptos" w:cs="Arial"/>
        </w:rPr>
        <w:t xml:space="preserve">The </w:t>
      </w:r>
      <w:r w:rsidR="006670E8" w:rsidRPr="00720A49">
        <w:rPr>
          <w:rFonts w:ascii="Aptos" w:hAnsi="Aptos" w:cs="Arial"/>
        </w:rPr>
        <w:t>future generation assumptions are</w:t>
      </w:r>
      <w:r w:rsidR="00293F6B" w:rsidRPr="00720A49">
        <w:rPr>
          <w:rFonts w:ascii="Aptos" w:hAnsi="Aptos" w:cs="Arial"/>
        </w:rPr>
        <w:t xml:space="preserve"> modeled as proxy generator injections into the 500 kV network, </w:t>
      </w:r>
      <w:proofErr w:type="gramStart"/>
      <w:r w:rsidR="00293F6B" w:rsidRPr="00720A49">
        <w:rPr>
          <w:rFonts w:ascii="Aptos" w:hAnsi="Aptos" w:cs="Arial"/>
        </w:rPr>
        <w:t>in order to</w:t>
      </w:r>
      <w:proofErr w:type="gramEnd"/>
      <w:r w:rsidR="00293F6B" w:rsidRPr="00720A49">
        <w:rPr>
          <w:rFonts w:ascii="Aptos" w:hAnsi="Aptos" w:cs="Arial"/>
        </w:rPr>
        <w:t xml:space="preserve"> avoid impact on the location of transmission by </w:t>
      </w:r>
      <w:r w:rsidR="0003394F" w:rsidRPr="00720A49">
        <w:rPr>
          <w:rFonts w:ascii="Aptos" w:hAnsi="Aptos" w:cs="Arial"/>
        </w:rPr>
        <w:t xml:space="preserve">the assumed placement of new generation. </w:t>
      </w:r>
    </w:p>
    <w:p w14:paraId="509C620F" w14:textId="3C564A0F" w:rsidR="0003394F" w:rsidRPr="00720A49" w:rsidRDefault="0003394F" w:rsidP="00FF3E25">
      <w:pPr>
        <w:jc w:val="both"/>
        <w:rPr>
          <w:rFonts w:ascii="Aptos" w:hAnsi="Aptos" w:cs="Arial"/>
        </w:rPr>
      </w:pPr>
      <w:r w:rsidRPr="00720A49">
        <w:rPr>
          <w:rFonts w:ascii="Aptos" w:hAnsi="Aptos" w:cs="Arial"/>
        </w:rPr>
        <w:t xml:space="preserve">For purposes of performing the analysis to determine the increase in power flows on transmission facilities from load growth, the power flow model </w:t>
      </w:r>
      <w:r w:rsidR="001E6A4B" w:rsidRPr="00720A49">
        <w:rPr>
          <w:rFonts w:ascii="Aptos" w:hAnsi="Aptos" w:cs="Arial"/>
        </w:rPr>
        <w:t>is</w:t>
      </w:r>
      <w:r w:rsidRPr="00720A49">
        <w:rPr>
          <w:rFonts w:ascii="Aptos" w:hAnsi="Aptos" w:cs="Arial"/>
        </w:rPr>
        <w:t xml:space="preserve"> </w:t>
      </w:r>
      <w:r w:rsidR="00293F6B" w:rsidRPr="00720A49">
        <w:rPr>
          <w:rFonts w:ascii="Aptos" w:hAnsi="Aptos" w:cs="Arial"/>
        </w:rPr>
        <w:t xml:space="preserve">used </w:t>
      </w:r>
      <w:r w:rsidRPr="00720A49">
        <w:rPr>
          <w:rFonts w:ascii="Aptos" w:hAnsi="Aptos" w:cs="Arial"/>
        </w:rPr>
        <w:t xml:space="preserve">to scale the system load in the transmission planning cases by </w:t>
      </w:r>
      <w:r w:rsidR="00D904D4" w:rsidRPr="00720A49">
        <w:rPr>
          <w:rFonts w:ascii="Aptos" w:hAnsi="Aptos" w:cs="Arial"/>
        </w:rPr>
        <w:t>750</w:t>
      </w:r>
      <w:r w:rsidRPr="00720A49">
        <w:rPr>
          <w:rFonts w:ascii="Aptos" w:hAnsi="Aptos" w:cs="Arial"/>
        </w:rPr>
        <w:t xml:space="preserve"> MW for each year of projected load growth. This load scale is performed on a pro-rata basis for the load located at each existing system load bus.  </w:t>
      </w:r>
    </w:p>
    <w:p w14:paraId="1A6AA6C7" w14:textId="781672C4" w:rsidR="0003394F" w:rsidRPr="00720A49" w:rsidRDefault="0003394F" w:rsidP="0003394F">
      <w:pPr>
        <w:spacing w:line="360" w:lineRule="auto"/>
        <w:rPr>
          <w:rFonts w:ascii="Aptos" w:hAnsi="Aptos" w:cs="Arial"/>
        </w:rPr>
      </w:pPr>
      <m:oMathPara>
        <m:oMath>
          <m:r>
            <m:rPr>
              <m:sty m:val="p"/>
            </m:rPr>
            <w:rPr>
              <w:rFonts w:ascii="Cambria Math" w:hAnsi="Cambria Math" w:cs="Arial"/>
            </w:rPr>
            <m:t>∆</m:t>
          </m:r>
          <m:sSub>
            <m:sSubPr>
              <m:ctrlPr>
                <w:rPr>
                  <w:rFonts w:ascii="Cambria Math" w:hAnsi="Cambria Math" w:cs="Arial"/>
                </w:rPr>
              </m:ctrlPr>
            </m:sSubPr>
            <m:e>
              <m:r>
                <w:rPr>
                  <w:rFonts w:ascii="Cambria Math" w:hAnsi="Cambria Math" w:cs="Arial"/>
                </w:rPr>
                <m:t>load</m:t>
              </m:r>
            </m:e>
            <m:sub>
              <m:r>
                <w:rPr>
                  <w:rFonts w:ascii="Cambria Math" w:hAnsi="Cambria Math" w:cs="Arial"/>
                </w:rPr>
                <m:t>n</m:t>
              </m:r>
            </m:sub>
          </m:sSub>
          <m:r>
            <w:rPr>
              <w:rFonts w:ascii="Cambria Math" w:hAnsi="Cambria Math" w:cs="Arial"/>
            </w:rPr>
            <m:t>=</m:t>
          </m:r>
          <m:f>
            <m:fPr>
              <m:ctrlPr>
                <w:rPr>
                  <w:rFonts w:ascii="Cambria Math" w:hAnsi="Cambria Math" w:cs="Arial"/>
                </w:rPr>
              </m:ctrlPr>
            </m:fPr>
            <m:num>
              <m:sSub>
                <m:sSubPr>
                  <m:ctrlPr>
                    <w:rPr>
                      <w:rFonts w:ascii="Cambria Math" w:hAnsi="Cambria Math" w:cs="Arial"/>
                      <w:i/>
                    </w:rPr>
                  </m:ctrlPr>
                </m:sSubPr>
                <m:e>
                  <m:r>
                    <w:rPr>
                      <w:rFonts w:ascii="Cambria Math" w:hAnsi="Cambria Math" w:cs="Arial"/>
                    </w:rPr>
                    <m:t>load</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load</m:t>
                  </m:r>
                </m:e>
                <m:sub>
                  <m:r>
                    <w:rPr>
                      <w:rFonts w:ascii="Cambria Math" w:hAnsi="Cambria Math" w:cs="Arial"/>
                    </w:rPr>
                    <m:t>total</m:t>
                  </m:r>
                </m:sub>
              </m:sSub>
            </m:den>
          </m:f>
          <m:r>
            <w:rPr>
              <w:rFonts w:ascii="Cambria Math" w:hAnsi="Cambria Math" w:cs="Arial"/>
            </w:rPr>
            <m:t>×750 MW</m:t>
          </m:r>
        </m:oMath>
      </m:oMathPara>
    </w:p>
    <w:p w14:paraId="088CE528" w14:textId="1B354D5F" w:rsidR="0003394F" w:rsidRPr="00720A49" w:rsidRDefault="0003394F" w:rsidP="00FF3E25">
      <w:pPr>
        <w:jc w:val="both"/>
        <w:rPr>
          <w:rFonts w:ascii="Aptos" w:hAnsi="Aptos" w:cs="Arial"/>
        </w:rPr>
      </w:pPr>
      <w:r w:rsidRPr="00720A49">
        <w:rPr>
          <w:rFonts w:ascii="Aptos" w:hAnsi="Aptos" w:cs="Arial"/>
        </w:rPr>
        <w:t xml:space="preserve">This process </w:t>
      </w:r>
      <w:r w:rsidR="001E6A4B" w:rsidRPr="00720A49">
        <w:rPr>
          <w:rFonts w:ascii="Aptos" w:hAnsi="Aptos" w:cs="Arial"/>
        </w:rPr>
        <w:t>is</w:t>
      </w:r>
      <w:r w:rsidRPr="00720A49">
        <w:rPr>
          <w:rFonts w:ascii="Aptos" w:hAnsi="Aptos" w:cs="Arial"/>
        </w:rPr>
        <w:t xml:space="preserve"> repeated for each year in the study timeframe until the system load has been scaled by a total of </w:t>
      </w:r>
      <w:r w:rsidR="00FF21B8" w:rsidRPr="00720A49">
        <w:rPr>
          <w:rFonts w:ascii="Aptos" w:hAnsi="Aptos" w:cs="Arial"/>
        </w:rPr>
        <w:t>7,500</w:t>
      </w:r>
      <w:r w:rsidRPr="00720A49">
        <w:rPr>
          <w:rFonts w:ascii="Aptos" w:hAnsi="Aptos" w:cs="Arial"/>
        </w:rPr>
        <w:t xml:space="preserve"> MW. The load at each bus </w:t>
      </w:r>
      <w:r w:rsidR="001E6A4B" w:rsidRPr="00720A49">
        <w:rPr>
          <w:rFonts w:ascii="Aptos" w:hAnsi="Aptos" w:cs="Arial"/>
        </w:rPr>
        <w:t>is</w:t>
      </w:r>
      <w:r w:rsidRPr="00720A49">
        <w:rPr>
          <w:rFonts w:ascii="Aptos" w:hAnsi="Aptos" w:cs="Arial"/>
        </w:rPr>
        <w:t xml:space="preserve"> scaled using an assumption that the power factor (pf) of the load does not change as it is scaled.</w:t>
      </w:r>
    </w:p>
    <w:p w14:paraId="203FE03D" w14:textId="5513CF61" w:rsidR="0003394F" w:rsidRPr="00720A49" w:rsidRDefault="00AA7A43" w:rsidP="00FF3E25">
      <w:pPr>
        <w:jc w:val="both"/>
        <w:rPr>
          <w:rFonts w:ascii="Aptos" w:hAnsi="Aptos" w:cs="Arial"/>
        </w:rPr>
      </w:pPr>
      <w:r w:rsidRPr="00720A49">
        <w:rPr>
          <w:rFonts w:ascii="Aptos" w:hAnsi="Aptos" w:cs="Arial"/>
        </w:rPr>
        <w:t>To</w:t>
      </w:r>
      <w:r w:rsidR="0003394F" w:rsidRPr="00720A49">
        <w:rPr>
          <w:rFonts w:ascii="Aptos" w:hAnsi="Aptos" w:cs="Arial"/>
        </w:rPr>
        <w:t xml:space="preserve"> determine the transmission projects necessary to support </w:t>
      </w:r>
      <w:r w:rsidR="00420017" w:rsidRPr="00720A49">
        <w:rPr>
          <w:rFonts w:ascii="Aptos" w:hAnsi="Aptos" w:cs="Arial"/>
        </w:rPr>
        <w:t>1</w:t>
      </w:r>
      <w:r w:rsidR="0003394F" w:rsidRPr="00720A49">
        <w:rPr>
          <w:rFonts w:ascii="Aptos" w:hAnsi="Aptos" w:cs="Arial"/>
        </w:rPr>
        <w:t xml:space="preserve">0 years of load growth, the Managing and Utilizing System Transmission </w:t>
      </w:r>
      <w:r w:rsidR="00983451" w:rsidRPr="00720A49">
        <w:rPr>
          <w:rFonts w:ascii="Aptos" w:hAnsi="Aptos" w:cs="Arial"/>
        </w:rPr>
        <w:t>(</w:t>
      </w:r>
      <w:r w:rsidR="00750528" w:rsidRPr="00720A49">
        <w:rPr>
          <w:rFonts w:ascii="Aptos" w:hAnsi="Aptos" w:cs="Arial"/>
        </w:rPr>
        <w:t>“</w:t>
      </w:r>
      <w:r w:rsidR="0003394F" w:rsidRPr="00720A49">
        <w:rPr>
          <w:rFonts w:ascii="Aptos" w:hAnsi="Aptos" w:cs="Arial"/>
        </w:rPr>
        <w:t>MUST</w:t>
      </w:r>
      <w:r w:rsidR="00983451" w:rsidRPr="00720A49">
        <w:rPr>
          <w:rFonts w:ascii="Aptos" w:hAnsi="Aptos" w:cs="Arial"/>
        </w:rPr>
        <w:t>”</w:t>
      </w:r>
      <w:r w:rsidR="0003394F" w:rsidRPr="00720A49">
        <w:rPr>
          <w:rFonts w:ascii="Aptos" w:hAnsi="Aptos" w:cs="Arial"/>
        </w:rPr>
        <w:t xml:space="preserve">) power flow transfer analysis tool is </w:t>
      </w:r>
      <w:r w:rsidR="00293F6B" w:rsidRPr="00720A49">
        <w:rPr>
          <w:rFonts w:ascii="Aptos" w:hAnsi="Aptos" w:cs="Arial"/>
        </w:rPr>
        <w:t xml:space="preserve">used </w:t>
      </w:r>
      <w:r w:rsidR="0003394F" w:rsidRPr="00720A49">
        <w:rPr>
          <w:rFonts w:ascii="Aptos" w:hAnsi="Aptos" w:cs="Arial"/>
        </w:rPr>
        <w:t xml:space="preserve">on the created cases. MUST simultaneously scales up the proxy generation and forecast load, simulating serving load growth from the proxy generation. The single transmission line (i.e., N-1) contingency analysis performed by MUST is </w:t>
      </w:r>
      <w:r w:rsidR="00293F6B" w:rsidRPr="00720A49">
        <w:rPr>
          <w:rFonts w:ascii="Aptos" w:hAnsi="Aptos" w:cs="Arial"/>
        </w:rPr>
        <w:t xml:space="preserve">used </w:t>
      </w:r>
      <w:r w:rsidR="0003394F" w:rsidRPr="00720A49">
        <w:rPr>
          <w:rFonts w:ascii="Aptos" w:hAnsi="Aptos" w:cs="Arial"/>
        </w:rPr>
        <w:t xml:space="preserve">to determine the MW transfer level at which a given transmission facility becomes overloaded. A series of approximately 60 more cases </w:t>
      </w:r>
      <w:proofErr w:type="gramStart"/>
      <w:r w:rsidR="001E63ED" w:rsidRPr="00720A49">
        <w:rPr>
          <w:rFonts w:ascii="Aptos" w:hAnsi="Aptos" w:cs="Arial"/>
        </w:rPr>
        <w:t>are</w:t>
      </w:r>
      <w:proofErr w:type="gramEnd"/>
      <w:r w:rsidR="0003394F" w:rsidRPr="00720A49">
        <w:rPr>
          <w:rFonts w:ascii="Aptos" w:hAnsi="Aptos" w:cs="Arial"/>
        </w:rPr>
        <w:t xml:space="preserve"> created with individual existing units modeled offline </w:t>
      </w:r>
      <w:r w:rsidRPr="00720A49">
        <w:rPr>
          <w:rFonts w:ascii="Aptos" w:hAnsi="Aptos" w:cs="Arial"/>
        </w:rPr>
        <w:t>to</w:t>
      </w:r>
      <w:r w:rsidR="0003394F" w:rsidRPr="00720A49">
        <w:rPr>
          <w:rFonts w:ascii="Aptos" w:hAnsi="Aptos" w:cs="Arial"/>
        </w:rPr>
        <w:t xml:space="preserve"> create generation contingency (i.e., N-G) system models.  A similar MUST analysis is run</w:t>
      </w:r>
      <w:r w:rsidR="001E63ED" w:rsidRPr="00720A49">
        <w:rPr>
          <w:rFonts w:ascii="Aptos" w:hAnsi="Aptos" w:cs="Arial"/>
        </w:rPr>
        <w:t>,</w:t>
      </w:r>
      <w:r w:rsidR="0003394F" w:rsidRPr="00720A49">
        <w:rPr>
          <w:rFonts w:ascii="Aptos" w:hAnsi="Aptos" w:cs="Arial"/>
        </w:rPr>
        <w:t xml:space="preserve"> resulting in a single transmission line plus generator contingency (i.e., N-G-1) analysis matching the typical transmission planning expansion criteria. The most limiting system loading from the N-1 and N-G-1 cases are reviewed to determine the need for transmission expansion projects. Each thermal constraint identified </w:t>
      </w:r>
      <w:r w:rsidR="00293F6B" w:rsidRPr="00720A49">
        <w:rPr>
          <w:rFonts w:ascii="Aptos" w:hAnsi="Aptos" w:cs="Arial"/>
        </w:rPr>
        <w:t xml:space="preserve">by </w:t>
      </w:r>
      <w:r w:rsidR="0003394F" w:rsidRPr="00720A49">
        <w:rPr>
          <w:rFonts w:ascii="Aptos" w:hAnsi="Aptos" w:cs="Arial"/>
        </w:rPr>
        <w:t xml:space="preserve">the MUST analysis process </w:t>
      </w:r>
      <w:r w:rsidR="001E6A4B" w:rsidRPr="00720A49">
        <w:rPr>
          <w:rFonts w:ascii="Aptos" w:hAnsi="Aptos" w:cs="Arial"/>
        </w:rPr>
        <w:t xml:space="preserve">is </w:t>
      </w:r>
      <w:r w:rsidR="0003394F" w:rsidRPr="00720A49">
        <w:rPr>
          <w:rFonts w:ascii="Aptos" w:hAnsi="Aptos" w:cs="Arial"/>
        </w:rPr>
        <w:t xml:space="preserve">then evaluated on a case-by-case basis to determine the transmission project </w:t>
      </w:r>
      <w:r w:rsidR="00293F6B" w:rsidRPr="00720A49">
        <w:rPr>
          <w:rFonts w:ascii="Aptos" w:hAnsi="Aptos" w:cs="Arial"/>
        </w:rPr>
        <w:t xml:space="preserve">needed </w:t>
      </w:r>
      <w:r w:rsidR="0003394F" w:rsidRPr="00720A49">
        <w:rPr>
          <w:rFonts w:ascii="Aptos" w:hAnsi="Aptos" w:cs="Arial"/>
        </w:rPr>
        <w:t xml:space="preserve">to alleviate the constraint. The cost of each identified project is determined using planning level cost estimates. The timing of those projects is determined based on the MW transfer level identified for the constraint. The identified MW transfer level is divided by </w:t>
      </w:r>
      <w:r w:rsidR="006E13E4" w:rsidRPr="00720A49">
        <w:rPr>
          <w:rFonts w:ascii="Aptos" w:hAnsi="Aptos" w:cs="Arial"/>
        </w:rPr>
        <w:t xml:space="preserve">750 </w:t>
      </w:r>
      <w:r w:rsidR="0003394F" w:rsidRPr="00720A49">
        <w:rPr>
          <w:rFonts w:ascii="Aptos" w:hAnsi="Aptos" w:cs="Arial"/>
        </w:rPr>
        <w:t xml:space="preserve">MW load growth per year to determine the expected year of construction for identified projects.  </w:t>
      </w:r>
    </w:p>
    <w:p w14:paraId="4D8A3A2F" w14:textId="3350F09A" w:rsidR="0003394F" w:rsidRPr="00720A49" w:rsidRDefault="0003394F" w:rsidP="00FF3E25">
      <w:pPr>
        <w:jc w:val="both"/>
        <w:rPr>
          <w:rFonts w:ascii="Aptos" w:hAnsi="Aptos" w:cs="Arial"/>
        </w:rPr>
      </w:pPr>
      <w:r w:rsidRPr="00720A49">
        <w:rPr>
          <w:rFonts w:ascii="Aptos" w:hAnsi="Aptos" w:cs="Arial"/>
        </w:rPr>
        <w:lastRenderedPageBreak/>
        <w:t xml:space="preserve">This process is </w:t>
      </w:r>
      <w:r w:rsidR="0033457D" w:rsidRPr="00720A49">
        <w:rPr>
          <w:rFonts w:ascii="Aptos" w:hAnsi="Aptos" w:cs="Arial"/>
        </w:rPr>
        <w:t xml:space="preserve">first </w:t>
      </w:r>
      <w:r w:rsidRPr="00720A49">
        <w:rPr>
          <w:rFonts w:ascii="Aptos" w:hAnsi="Aptos" w:cs="Arial"/>
        </w:rPr>
        <w:t>performed with</w:t>
      </w:r>
      <w:r w:rsidR="0033457D" w:rsidRPr="00720A49">
        <w:rPr>
          <w:rFonts w:ascii="Aptos" w:hAnsi="Aptos" w:cs="Arial"/>
        </w:rPr>
        <w:t>out additional DG resources in any of the identified regions</w:t>
      </w:r>
      <w:r w:rsidR="00A17232" w:rsidRPr="00720A49">
        <w:rPr>
          <w:rFonts w:ascii="Aptos" w:hAnsi="Aptos" w:cs="Arial"/>
        </w:rPr>
        <w:t xml:space="preserve"> and subsequently repeated by indepe</w:t>
      </w:r>
      <w:r w:rsidR="003958FC" w:rsidRPr="00720A49">
        <w:rPr>
          <w:rFonts w:ascii="Aptos" w:hAnsi="Aptos" w:cs="Arial"/>
        </w:rPr>
        <w:t>ndently adding DG resources to each of the regions.</w:t>
      </w:r>
      <w:r w:rsidR="00003892" w:rsidRPr="00720A49">
        <w:rPr>
          <w:rFonts w:ascii="Aptos" w:hAnsi="Aptos" w:cs="Arial"/>
        </w:rPr>
        <w:t xml:space="preserve"> Thus, the</w:t>
      </w:r>
      <w:r w:rsidRPr="00720A49">
        <w:rPr>
          <w:rFonts w:ascii="Aptos" w:hAnsi="Aptos" w:cs="Arial"/>
        </w:rPr>
        <w:t xml:space="preserve"> </w:t>
      </w:r>
      <w:r w:rsidR="001E63ED" w:rsidRPr="00720A49">
        <w:rPr>
          <w:rFonts w:ascii="Aptos" w:hAnsi="Aptos" w:cs="Arial"/>
        </w:rPr>
        <w:t>DG</w:t>
      </w:r>
      <w:r w:rsidR="00003892" w:rsidRPr="00720A49">
        <w:rPr>
          <w:rFonts w:ascii="Aptos" w:hAnsi="Aptos" w:cs="Arial"/>
        </w:rPr>
        <w:t xml:space="preserve"> resources</w:t>
      </w:r>
      <w:r w:rsidR="3AE0C991" w:rsidRPr="00720A49">
        <w:rPr>
          <w:rFonts w:ascii="Aptos" w:hAnsi="Aptos" w:cs="Arial"/>
        </w:rPr>
        <w:t>’</w:t>
      </w:r>
      <w:r w:rsidR="001E63ED" w:rsidRPr="00720A49">
        <w:rPr>
          <w:rFonts w:ascii="Aptos" w:hAnsi="Aptos" w:cs="Arial"/>
        </w:rPr>
        <w:t xml:space="preserve"> impact </w:t>
      </w:r>
      <w:r w:rsidRPr="00720A49">
        <w:rPr>
          <w:rFonts w:ascii="Aptos" w:hAnsi="Aptos" w:cs="Arial"/>
        </w:rPr>
        <w:t>on the expected timing of the projects</w:t>
      </w:r>
      <w:r w:rsidR="00A55CEF" w:rsidRPr="00720A49">
        <w:rPr>
          <w:rFonts w:ascii="Aptos" w:hAnsi="Aptos" w:cs="Arial"/>
        </w:rPr>
        <w:t xml:space="preserve"> can be evaluated individually for each region</w:t>
      </w:r>
      <w:r w:rsidRPr="00720A49">
        <w:rPr>
          <w:rFonts w:ascii="Aptos" w:hAnsi="Aptos" w:cs="Arial"/>
        </w:rPr>
        <w:t>. Th</w:t>
      </w:r>
      <w:r w:rsidR="00A55CEF" w:rsidRPr="00720A49">
        <w:rPr>
          <w:rFonts w:ascii="Aptos" w:hAnsi="Aptos" w:cs="Arial"/>
        </w:rPr>
        <w:t>e</w:t>
      </w:r>
      <w:r w:rsidRPr="00720A49">
        <w:rPr>
          <w:rFonts w:ascii="Aptos" w:hAnsi="Aptos" w:cs="Arial"/>
        </w:rPr>
        <w:t xml:space="preserve"> resulting difference</w:t>
      </w:r>
      <w:r w:rsidR="00A55CEF" w:rsidRPr="00720A49">
        <w:rPr>
          <w:rFonts w:ascii="Aptos" w:hAnsi="Aptos" w:cs="Arial"/>
        </w:rPr>
        <w:t>s</w:t>
      </w:r>
      <w:r w:rsidRPr="00720A49">
        <w:rPr>
          <w:rFonts w:ascii="Aptos" w:hAnsi="Aptos" w:cs="Arial"/>
        </w:rPr>
        <w:t xml:space="preserve"> in transmission project timing to serve load over the </w:t>
      </w:r>
      <w:r w:rsidR="000631E1" w:rsidRPr="00720A49">
        <w:rPr>
          <w:rFonts w:ascii="Aptos" w:hAnsi="Aptos" w:cs="Arial"/>
        </w:rPr>
        <w:t>20</w:t>
      </w:r>
      <w:r w:rsidRPr="00720A49">
        <w:rPr>
          <w:rFonts w:ascii="Aptos" w:hAnsi="Aptos" w:cs="Arial"/>
        </w:rPr>
        <w:t xml:space="preserve">-year study period is evaluated in an economic analysis that results in a benefit </w:t>
      </w:r>
      <w:r w:rsidR="00A55CEF" w:rsidRPr="00720A49">
        <w:rPr>
          <w:rFonts w:ascii="Aptos" w:hAnsi="Aptos" w:cs="Arial"/>
        </w:rPr>
        <w:t xml:space="preserve">or cost </w:t>
      </w:r>
      <w:r w:rsidRPr="00720A49">
        <w:rPr>
          <w:rFonts w:ascii="Aptos" w:hAnsi="Aptos" w:cs="Arial"/>
        </w:rPr>
        <w:t>attributed to DG</w:t>
      </w:r>
      <w:r w:rsidR="00A55CEF" w:rsidRPr="00720A49">
        <w:rPr>
          <w:rFonts w:ascii="Aptos" w:hAnsi="Aptos" w:cs="Arial"/>
        </w:rPr>
        <w:t xml:space="preserve"> resources</w:t>
      </w:r>
      <w:r w:rsidRPr="00720A49">
        <w:rPr>
          <w:rFonts w:ascii="Aptos" w:hAnsi="Aptos" w:cs="Arial"/>
        </w:rPr>
        <w:t>.</w:t>
      </w:r>
    </w:p>
    <w:p w14:paraId="2FF76C6B" w14:textId="457529D8" w:rsidR="0003394F" w:rsidRPr="00720A49" w:rsidRDefault="008720B4" w:rsidP="00935E4F">
      <w:pPr>
        <w:pStyle w:val="Heading2"/>
        <w:rPr>
          <w:rFonts w:ascii="Aptos" w:hAnsi="Aptos"/>
        </w:rPr>
      </w:pPr>
      <w:bookmarkStart w:id="28" w:name="_Hlk83718331"/>
      <w:bookmarkEnd w:id="27"/>
      <w:r w:rsidRPr="00720A49">
        <w:rPr>
          <w:rFonts w:ascii="Aptos" w:hAnsi="Aptos"/>
        </w:rPr>
        <w:t xml:space="preserve">Avoided </w:t>
      </w:r>
      <w:r w:rsidR="0003394F" w:rsidRPr="00720A49">
        <w:rPr>
          <w:rFonts w:ascii="Aptos" w:hAnsi="Aptos"/>
        </w:rPr>
        <w:t>Distribution Energy Losses</w:t>
      </w:r>
    </w:p>
    <w:p w14:paraId="4207023D" w14:textId="2F7E51D2" w:rsidR="0003394F" w:rsidRPr="00720A49" w:rsidRDefault="00EB5D3D" w:rsidP="00FF3E25">
      <w:pPr>
        <w:jc w:val="both"/>
        <w:rPr>
          <w:rFonts w:ascii="Aptos" w:hAnsi="Aptos" w:cs="Arial"/>
        </w:rPr>
      </w:pPr>
      <w:bookmarkStart w:id="29" w:name="_Hlk163213999"/>
      <w:bookmarkEnd w:id="28"/>
      <w:r w:rsidRPr="00720A49">
        <w:rPr>
          <w:rFonts w:ascii="Aptos" w:hAnsi="Aptos" w:cs="Arial"/>
        </w:rPr>
        <w:t>Calculation of</w:t>
      </w:r>
      <w:r w:rsidR="00F66FB9" w:rsidRPr="00720A49">
        <w:rPr>
          <w:rFonts w:ascii="Aptos" w:hAnsi="Aptos" w:cs="Arial"/>
        </w:rPr>
        <w:t xml:space="preserve"> </w:t>
      </w:r>
      <w:r w:rsidR="002F12B3" w:rsidRPr="00720A49">
        <w:rPr>
          <w:rFonts w:ascii="Aptos" w:hAnsi="Aptos" w:cs="Arial"/>
        </w:rPr>
        <w:t xml:space="preserve">Avoided </w:t>
      </w:r>
      <w:r w:rsidR="00F66FB9" w:rsidRPr="00720A49">
        <w:rPr>
          <w:rFonts w:ascii="Aptos" w:hAnsi="Aptos" w:cs="Arial"/>
        </w:rPr>
        <w:t xml:space="preserve">Distribution Energy Losses associated with the addition of DG </w:t>
      </w:r>
      <w:r w:rsidRPr="00720A49">
        <w:rPr>
          <w:rFonts w:ascii="Aptos" w:hAnsi="Aptos" w:cs="Arial"/>
        </w:rPr>
        <w:t>is</w:t>
      </w:r>
      <w:r w:rsidR="00F66FB9" w:rsidRPr="00720A49">
        <w:rPr>
          <w:rFonts w:ascii="Aptos" w:hAnsi="Aptos" w:cs="Arial"/>
        </w:rPr>
        <w:t xml:space="preserve"> the same as Avoided Energy Costs except </w:t>
      </w:r>
      <w:r w:rsidR="007E04C2" w:rsidRPr="00720A49">
        <w:rPr>
          <w:rFonts w:ascii="Aptos" w:hAnsi="Aptos" w:cs="Arial"/>
        </w:rPr>
        <w:t xml:space="preserve">that </w:t>
      </w:r>
      <w:r w:rsidR="00F66FB9" w:rsidRPr="00720A49">
        <w:rPr>
          <w:rFonts w:ascii="Aptos" w:hAnsi="Aptos" w:cs="Arial"/>
        </w:rPr>
        <w:t xml:space="preserve">the calculation is applied only to the distribution loss profile. Using the same model </w:t>
      </w:r>
      <w:r w:rsidRPr="00720A49">
        <w:rPr>
          <w:rFonts w:ascii="Aptos" w:hAnsi="Aptos" w:cs="Arial"/>
        </w:rPr>
        <w:t>as</w:t>
      </w:r>
      <w:r w:rsidR="00F66FB9" w:rsidRPr="00720A49">
        <w:rPr>
          <w:rFonts w:ascii="Aptos" w:hAnsi="Aptos" w:cs="Arial"/>
        </w:rPr>
        <w:t xml:space="preserve"> Avoided Energy Costs</w:t>
      </w:r>
      <w:r w:rsidR="00DE6D0B" w:rsidRPr="00720A49">
        <w:rPr>
          <w:rFonts w:ascii="Aptos" w:hAnsi="Aptos" w:cs="Arial"/>
        </w:rPr>
        <w:t>,</w:t>
      </w:r>
      <w:r w:rsidR="00F66FB9" w:rsidRPr="00720A49">
        <w:rPr>
          <w:rFonts w:ascii="Aptos" w:hAnsi="Aptos" w:cs="Arial"/>
        </w:rPr>
        <w:t xml:space="preserve"> the 8</w:t>
      </w:r>
      <w:r w:rsidR="00DE62FC" w:rsidRPr="00720A49">
        <w:rPr>
          <w:rFonts w:ascii="Aptos" w:hAnsi="Aptos" w:cs="Arial"/>
        </w:rPr>
        <w:t>,</w:t>
      </w:r>
      <w:r w:rsidR="00F66FB9" w:rsidRPr="00720A49">
        <w:rPr>
          <w:rFonts w:ascii="Aptos" w:hAnsi="Aptos" w:cs="Arial"/>
        </w:rPr>
        <w:t>760-hour (8</w:t>
      </w:r>
      <w:r w:rsidR="00DE62FC" w:rsidRPr="00720A49">
        <w:rPr>
          <w:rFonts w:ascii="Aptos" w:hAnsi="Aptos" w:cs="Arial"/>
        </w:rPr>
        <w:t>,</w:t>
      </w:r>
      <w:r w:rsidR="00F66FB9" w:rsidRPr="00720A49">
        <w:rPr>
          <w:rFonts w:ascii="Aptos" w:hAnsi="Aptos" w:cs="Arial"/>
        </w:rPr>
        <w:t>784 for leap year) distribution loss profile is applied to the system avoided energy costs</w:t>
      </w:r>
      <w:r w:rsidR="003458D7" w:rsidRPr="00720A49">
        <w:rPr>
          <w:rFonts w:ascii="Aptos" w:hAnsi="Aptos" w:cs="Arial"/>
        </w:rPr>
        <w:t xml:space="preserve"> </w:t>
      </w:r>
      <w:r w:rsidR="00F66FB9" w:rsidRPr="00720A49">
        <w:rPr>
          <w:rFonts w:ascii="Aptos" w:hAnsi="Aptos" w:cs="Arial"/>
        </w:rPr>
        <w:t xml:space="preserve">(see </w:t>
      </w:r>
      <w:r w:rsidR="003458D7" w:rsidRPr="00720A49">
        <w:rPr>
          <w:rFonts w:ascii="Aptos" w:hAnsi="Aptos" w:cs="Arial"/>
        </w:rPr>
        <w:t>Avoided Energy Cost</w:t>
      </w:r>
      <w:r w:rsidR="00F66FB9" w:rsidRPr="00720A49">
        <w:rPr>
          <w:rFonts w:ascii="Aptos" w:hAnsi="Aptos" w:cs="Arial"/>
        </w:rPr>
        <w:t xml:space="preserve"> sections for detailed formulas). </w:t>
      </w:r>
      <w:r w:rsidR="0003394F" w:rsidRPr="00720A49">
        <w:rPr>
          <w:rFonts w:ascii="Aptos" w:hAnsi="Aptos" w:cs="Arial"/>
        </w:rPr>
        <w:t>The distribution loss profile is developed by multiplying the distribution profile by system-weighted distribution loss factors</w:t>
      </w:r>
      <w:r w:rsidR="00E3372D" w:rsidRPr="00720A49">
        <w:rPr>
          <w:rFonts w:ascii="Aptos" w:hAnsi="Aptos" w:cs="Arial"/>
        </w:rPr>
        <w:t>,</w:t>
      </w:r>
      <w:r w:rsidR="0003394F" w:rsidRPr="00720A49">
        <w:rPr>
          <w:rFonts w:ascii="Aptos" w:hAnsi="Aptos" w:cs="Arial"/>
        </w:rPr>
        <w:t xml:space="preserve"> </w:t>
      </w:r>
      <w:r w:rsidR="00E3372D" w:rsidRPr="00720A49">
        <w:rPr>
          <w:rFonts w:ascii="Aptos" w:hAnsi="Aptos" w:cs="Arial"/>
        </w:rPr>
        <w:t xml:space="preserve">including </w:t>
      </w:r>
      <w:r w:rsidR="0003394F" w:rsidRPr="00720A49">
        <w:rPr>
          <w:rFonts w:ascii="Aptos" w:hAnsi="Aptos" w:cs="Arial"/>
        </w:rPr>
        <w:t xml:space="preserve">components for transmission substation losses, sub-transmission losses, and distribution system losses. Alternatively, the DG profile can be grossed up by the amount of distribution losses. In this case, the </w:t>
      </w:r>
      <w:r w:rsidR="002F12B3" w:rsidRPr="00720A49">
        <w:rPr>
          <w:rFonts w:ascii="Aptos" w:hAnsi="Aptos" w:cs="Arial"/>
        </w:rPr>
        <w:t xml:space="preserve">Avoided </w:t>
      </w:r>
      <w:r w:rsidR="000C6093" w:rsidRPr="00720A49">
        <w:rPr>
          <w:rFonts w:ascii="Aptos" w:hAnsi="Aptos" w:cs="Arial"/>
        </w:rPr>
        <w:t>D</w:t>
      </w:r>
      <w:r w:rsidR="0003394F" w:rsidRPr="00720A49">
        <w:rPr>
          <w:rFonts w:ascii="Aptos" w:hAnsi="Aptos" w:cs="Arial"/>
        </w:rPr>
        <w:t xml:space="preserve">istribution </w:t>
      </w:r>
      <w:r w:rsidR="000C6093" w:rsidRPr="00720A49">
        <w:rPr>
          <w:rFonts w:ascii="Aptos" w:hAnsi="Aptos" w:cs="Arial"/>
        </w:rPr>
        <w:t>E</w:t>
      </w:r>
      <w:r w:rsidR="0003394F" w:rsidRPr="00720A49">
        <w:rPr>
          <w:rFonts w:ascii="Aptos" w:hAnsi="Aptos" w:cs="Arial"/>
        </w:rPr>
        <w:t xml:space="preserve">nergy </w:t>
      </w:r>
      <w:r w:rsidR="000C6093" w:rsidRPr="00720A49">
        <w:rPr>
          <w:rFonts w:ascii="Aptos" w:hAnsi="Aptos" w:cs="Arial"/>
        </w:rPr>
        <w:t>L</w:t>
      </w:r>
      <w:r w:rsidR="0003394F" w:rsidRPr="00720A49">
        <w:rPr>
          <w:rFonts w:ascii="Aptos" w:hAnsi="Aptos" w:cs="Arial"/>
        </w:rPr>
        <w:t xml:space="preserve">osses </w:t>
      </w:r>
      <w:r w:rsidR="00E3372D" w:rsidRPr="00720A49">
        <w:rPr>
          <w:rFonts w:ascii="Aptos" w:hAnsi="Aptos" w:cs="Arial"/>
        </w:rPr>
        <w:t xml:space="preserve">benefit </w:t>
      </w:r>
      <w:r w:rsidR="0003394F" w:rsidRPr="00720A49">
        <w:rPr>
          <w:rFonts w:ascii="Aptos" w:hAnsi="Aptos" w:cs="Arial"/>
        </w:rPr>
        <w:t xml:space="preserve">is incorporated into the </w:t>
      </w:r>
      <w:r w:rsidR="000C6093" w:rsidRPr="00720A49">
        <w:rPr>
          <w:rFonts w:ascii="Aptos" w:hAnsi="Aptos" w:cs="Arial"/>
        </w:rPr>
        <w:t>calculation of A</w:t>
      </w:r>
      <w:r w:rsidR="0003394F" w:rsidRPr="00720A49">
        <w:rPr>
          <w:rFonts w:ascii="Aptos" w:hAnsi="Aptos" w:cs="Arial"/>
        </w:rPr>
        <w:t xml:space="preserve">voided </w:t>
      </w:r>
      <w:r w:rsidR="000C6093" w:rsidRPr="00720A49">
        <w:rPr>
          <w:rFonts w:ascii="Aptos" w:hAnsi="Aptos" w:cs="Arial"/>
        </w:rPr>
        <w:t>E</w:t>
      </w:r>
      <w:r w:rsidR="0003394F" w:rsidRPr="00720A49">
        <w:rPr>
          <w:rFonts w:ascii="Aptos" w:hAnsi="Aptos" w:cs="Arial"/>
        </w:rPr>
        <w:t xml:space="preserve">nergy </w:t>
      </w:r>
      <w:r w:rsidR="000C6093" w:rsidRPr="00720A49">
        <w:rPr>
          <w:rFonts w:ascii="Aptos" w:hAnsi="Aptos" w:cs="Arial"/>
        </w:rPr>
        <w:t>C</w:t>
      </w:r>
      <w:r w:rsidR="0003394F" w:rsidRPr="00720A49">
        <w:rPr>
          <w:rFonts w:ascii="Aptos" w:hAnsi="Aptos" w:cs="Arial"/>
        </w:rPr>
        <w:t>ost</w:t>
      </w:r>
      <w:r w:rsidR="000C6093" w:rsidRPr="00720A49">
        <w:rPr>
          <w:rFonts w:ascii="Aptos" w:hAnsi="Aptos" w:cs="Arial"/>
        </w:rPr>
        <w:t>s</w:t>
      </w:r>
      <w:r w:rsidR="00D40008" w:rsidRPr="00720A49">
        <w:rPr>
          <w:rFonts w:ascii="Aptos" w:hAnsi="Aptos" w:cs="Arial"/>
        </w:rPr>
        <w:t>.</w:t>
      </w:r>
    </w:p>
    <w:bookmarkEnd w:id="29"/>
    <w:p w14:paraId="56432496" w14:textId="77777777" w:rsidR="00E5107B" w:rsidRPr="00720A49" w:rsidRDefault="00E5107B" w:rsidP="00935E4F">
      <w:pPr>
        <w:pStyle w:val="Heading2"/>
        <w:rPr>
          <w:rFonts w:ascii="Aptos" w:hAnsi="Aptos"/>
        </w:rPr>
      </w:pPr>
      <w:r w:rsidRPr="00720A49">
        <w:rPr>
          <w:rFonts w:ascii="Aptos" w:hAnsi="Aptos"/>
        </w:rPr>
        <w:t>Integration Costs</w:t>
      </w:r>
    </w:p>
    <w:p w14:paraId="68DF827B" w14:textId="6E2A4E35" w:rsidR="00E5107B" w:rsidRPr="00720A49" w:rsidRDefault="00E5107B" w:rsidP="00FF3E25">
      <w:pPr>
        <w:jc w:val="both"/>
        <w:rPr>
          <w:rFonts w:ascii="Aptos" w:hAnsi="Aptos" w:cs="Arial"/>
        </w:rPr>
      </w:pPr>
      <w:r w:rsidRPr="00720A49">
        <w:rPr>
          <w:rFonts w:ascii="Aptos" w:hAnsi="Aptos" w:cs="Arial"/>
        </w:rPr>
        <w:t>A reliability</w:t>
      </w:r>
      <w:r w:rsidR="005D569C" w:rsidRPr="00720A49">
        <w:rPr>
          <w:rFonts w:ascii="Aptos" w:hAnsi="Aptos" w:cs="Arial"/>
        </w:rPr>
        <w:t>-</w:t>
      </w:r>
      <w:r w:rsidRPr="00720A49">
        <w:rPr>
          <w:rFonts w:ascii="Aptos" w:hAnsi="Aptos" w:cs="Arial"/>
        </w:rPr>
        <w:t xml:space="preserve">based </w:t>
      </w:r>
      <w:r w:rsidR="410F2C5F" w:rsidRPr="00720A49">
        <w:rPr>
          <w:rFonts w:ascii="Aptos" w:hAnsi="Aptos" w:cs="Arial"/>
        </w:rPr>
        <w:t>R</w:t>
      </w:r>
      <w:r w:rsidRPr="00720A49">
        <w:rPr>
          <w:rFonts w:ascii="Aptos" w:hAnsi="Aptos" w:cs="Arial"/>
        </w:rPr>
        <w:t xml:space="preserve">enewable </w:t>
      </w:r>
      <w:r w:rsidR="08B3BFF7" w:rsidRPr="00720A49">
        <w:rPr>
          <w:rFonts w:ascii="Aptos" w:hAnsi="Aptos" w:cs="Arial"/>
        </w:rPr>
        <w:t>I</w:t>
      </w:r>
      <w:r w:rsidRPr="00720A49">
        <w:rPr>
          <w:rFonts w:ascii="Aptos" w:hAnsi="Aptos" w:cs="Arial"/>
        </w:rPr>
        <w:t xml:space="preserve">ntegration </w:t>
      </w:r>
      <w:r w:rsidR="72C6F814" w:rsidRPr="00720A49">
        <w:rPr>
          <w:rFonts w:ascii="Aptos" w:hAnsi="Aptos" w:cs="Arial"/>
        </w:rPr>
        <w:t>S</w:t>
      </w:r>
      <w:r w:rsidRPr="00720A49">
        <w:rPr>
          <w:rFonts w:ascii="Aptos" w:hAnsi="Aptos" w:cs="Arial"/>
        </w:rPr>
        <w:t xml:space="preserve">tudy </w:t>
      </w:r>
      <w:r w:rsidR="00F51A14" w:rsidRPr="00720A49">
        <w:rPr>
          <w:rFonts w:ascii="Aptos" w:hAnsi="Aptos" w:cs="Arial"/>
        </w:rPr>
        <w:t xml:space="preserve">(“RIS”) </w:t>
      </w:r>
      <w:r w:rsidR="00155476" w:rsidRPr="00720A49">
        <w:rPr>
          <w:rFonts w:ascii="Aptos" w:hAnsi="Aptos" w:cs="Arial"/>
        </w:rPr>
        <w:t>is</w:t>
      </w:r>
      <w:r w:rsidRPr="00720A49">
        <w:rPr>
          <w:rFonts w:ascii="Aptos" w:hAnsi="Aptos" w:cs="Arial"/>
        </w:rPr>
        <w:t xml:space="preserve"> conducted </w:t>
      </w:r>
      <w:r w:rsidR="00625F55" w:rsidRPr="00720A49">
        <w:rPr>
          <w:rFonts w:ascii="Aptos" w:hAnsi="Aptos" w:cs="Arial"/>
        </w:rPr>
        <w:t>t</w:t>
      </w:r>
      <w:r w:rsidRPr="00720A49">
        <w:rPr>
          <w:rFonts w:ascii="Aptos" w:hAnsi="Aptos" w:cs="Arial"/>
        </w:rPr>
        <w:t xml:space="preserve">o determine expected system integration costs. The </w:t>
      </w:r>
      <w:r w:rsidR="7EABB468" w:rsidRPr="00720A49">
        <w:rPr>
          <w:rFonts w:ascii="Aptos" w:hAnsi="Aptos" w:cs="Arial"/>
        </w:rPr>
        <w:t>S</w:t>
      </w:r>
      <w:r w:rsidRPr="00720A49">
        <w:rPr>
          <w:rFonts w:ascii="Aptos" w:hAnsi="Aptos" w:cs="Arial"/>
        </w:rPr>
        <w:t>tudy consider</w:t>
      </w:r>
      <w:r w:rsidR="0088608F" w:rsidRPr="00720A49">
        <w:rPr>
          <w:rFonts w:ascii="Aptos" w:hAnsi="Aptos" w:cs="Arial"/>
        </w:rPr>
        <w:t>s</w:t>
      </w:r>
      <w:r w:rsidRPr="00720A49">
        <w:rPr>
          <w:rFonts w:ascii="Aptos" w:hAnsi="Aptos" w:cs="Arial"/>
        </w:rPr>
        <w:t xml:space="preserve"> system operation and costs at various levels of renewable penetration</w:t>
      </w:r>
      <w:r w:rsidR="008E0E6E" w:rsidRPr="00720A49">
        <w:rPr>
          <w:rFonts w:ascii="Aptos" w:hAnsi="Aptos" w:cs="Arial"/>
        </w:rPr>
        <w:t>, and use</w:t>
      </w:r>
      <w:r w:rsidR="0088608F" w:rsidRPr="00720A49">
        <w:rPr>
          <w:rFonts w:ascii="Aptos" w:hAnsi="Aptos" w:cs="Arial"/>
        </w:rPr>
        <w:t>s</w:t>
      </w:r>
      <w:r w:rsidR="008E0E6E" w:rsidRPr="00720A49">
        <w:rPr>
          <w:rFonts w:ascii="Aptos" w:hAnsi="Aptos" w:cs="Arial"/>
        </w:rPr>
        <w:t xml:space="preserve"> a </w:t>
      </w:r>
      <w:r w:rsidRPr="00720A49">
        <w:rPr>
          <w:rFonts w:ascii="Aptos" w:hAnsi="Aptos" w:cs="Arial"/>
        </w:rPr>
        <w:t xml:space="preserve">production cost model </w:t>
      </w:r>
      <w:r w:rsidR="008E0E6E" w:rsidRPr="00720A49">
        <w:rPr>
          <w:rFonts w:ascii="Aptos" w:hAnsi="Aptos" w:cs="Arial"/>
        </w:rPr>
        <w:t xml:space="preserve">with </w:t>
      </w:r>
      <w:r w:rsidRPr="00720A49">
        <w:rPr>
          <w:rFonts w:ascii="Aptos" w:hAnsi="Aptos" w:cs="Arial"/>
        </w:rPr>
        <w:t>the</w:t>
      </w:r>
      <w:r w:rsidR="008E0E6E" w:rsidRPr="00720A49">
        <w:rPr>
          <w:rFonts w:ascii="Aptos" w:hAnsi="Aptos" w:cs="Arial"/>
        </w:rPr>
        <w:t>se</w:t>
      </w:r>
      <w:r w:rsidRPr="00720A49">
        <w:rPr>
          <w:rFonts w:ascii="Aptos" w:hAnsi="Aptos" w:cs="Arial"/>
        </w:rPr>
        <w:t xml:space="preserve"> capabilities:</w:t>
      </w:r>
    </w:p>
    <w:p w14:paraId="619D896A" w14:textId="270657BC" w:rsidR="00E5107B" w:rsidRPr="00720A49" w:rsidRDefault="00E5107B" w:rsidP="0033194D">
      <w:pPr>
        <w:pStyle w:val="ListParagraph"/>
        <w:numPr>
          <w:ilvl w:val="0"/>
          <w:numId w:val="2"/>
        </w:numPr>
        <w:spacing w:line="360" w:lineRule="auto"/>
        <w:jc w:val="both"/>
        <w:rPr>
          <w:rFonts w:ascii="Aptos" w:hAnsi="Aptos" w:cs="Arial"/>
        </w:rPr>
      </w:pPr>
      <w:r w:rsidRPr="00720A49">
        <w:rPr>
          <w:rFonts w:ascii="Aptos" w:hAnsi="Aptos" w:cs="Arial"/>
        </w:rPr>
        <w:t>Sub-hourly system dispatch</w:t>
      </w:r>
      <w:r w:rsidR="008E0E6E" w:rsidRPr="00720A49">
        <w:rPr>
          <w:rFonts w:ascii="Aptos" w:hAnsi="Aptos" w:cs="Arial"/>
        </w:rPr>
        <w:t>.</w:t>
      </w:r>
    </w:p>
    <w:p w14:paraId="73AD9473" w14:textId="6DBBCB03" w:rsidR="00E5107B" w:rsidRPr="00720A49" w:rsidRDefault="00E5107B" w:rsidP="0033194D">
      <w:pPr>
        <w:pStyle w:val="ListParagraph"/>
        <w:numPr>
          <w:ilvl w:val="0"/>
          <w:numId w:val="2"/>
        </w:numPr>
        <w:spacing w:line="360" w:lineRule="auto"/>
        <w:jc w:val="both"/>
        <w:rPr>
          <w:rFonts w:ascii="Aptos" w:hAnsi="Aptos" w:cs="Arial"/>
        </w:rPr>
      </w:pPr>
      <w:r w:rsidRPr="00720A49">
        <w:rPr>
          <w:rFonts w:ascii="Aptos" w:hAnsi="Aptos" w:cs="Arial"/>
        </w:rPr>
        <w:t>Sub-hourly load volatility</w:t>
      </w:r>
      <w:r w:rsidR="008E0E6E" w:rsidRPr="00720A49">
        <w:rPr>
          <w:rFonts w:ascii="Aptos" w:hAnsi="Aptos" w:cs="Arial"/>
        </w:rPr>
        <w:t>.</w:t>
      </w:r>
    </w:p>
    <w:p w14:paraId="65250406" w14:textId="46BCFF4E" w:rsidR="00E5107B" w:rsidRPr="00720A49" w:rsidRDefault="00E5107B" w:rsidP="0033194D">
      <w:pPr>
        <w:pStyle w:val="ListParagraph"/>
        <w:numPr>
          <w:ilvl w:val="0"/>
          <w:numId w:val="2"/>
        </w:numPr>
        <w:spacing w:line="360" w:lineRule="auto"/>
        <w:jc w:val="both"/>
        <w:rPr>
          <w:rFonts w:ascii="Aptos" w:hAnsi="Aptos" w:cs="Arial"/>
        </w:rPr>
      </w:pPr>
      <w:r w:rsidRPr="00720A49">
        <w:rPr>
          <w:rFonts w:ascii="Aptos" w:hAnsi="Aptos" w:cs="Arial"/>
        </w:rPr>
        <w:t>Sub-hourly renewable resource volatility</w:t>
      </w:r>
      <w:r w:rsidR="008E0E6E" w:rsidRPr="00720A49">
        <w:rPr>
          <w:rFonts w:ascii="Aptos" w:hAnsi="Aptos" w:cs="Arial"/>
        </w:rPr>
        <w:t>.</w:t>
      </w:r>
    </w:p>
    <w:p w14:paraId="58184AF2" w14:textId="01FB2EE0" w:rsidR="00E5107B" w:rsidRPr="00720A49" w:rsidRDefault="00E5107B" w:rsidP="0033194D">
      <w:pPr>
        <w:pStyle w:val="ListParagraph"/>
        <w:numPr>
          <w:ilvl w:val="0"/>
          <w:numId w:val="2"/>
        </w:numPr>
        <w:spacing w:line="360" w:lineRule="auto"/>
        <w:jc w:val="both"/>
        <w:rPr>
          <w:rFonts w:ascii="Aptos" w:hAnsi="Aptos" w:cs="Arial"/>
        </w:rPr>
      </w:pPr>
      <w:r w:rsidRPr="00720A49">
        <w:rPr>
          <w:rFonts w:ascii="Aptos" w:hAnsi="Aptos" w:cs="Arial"/>
        </w:rPr>
        <w:t>Sub-hourly reliability determination</w:t>
      </w:r>
      <w:r w:rsidR="008E0E6E" w:rsidRPr="00720A49">
        <w:rPr>
          <w:rFonts w:ascii="Aptos" w:hAnsi="Aptos" w:cs="Arial"/>
        </w:rPr>
        <w:t>.</w:t>
      </w:r>
    </w:p>
    <w:p w14:paraId="1C41FBC1" w14:textId="7268731D" w:rsidR="0024701B" w:rsidRPr="00720A49" w:rsidRDefault="0024701B" w:rsidP="0033194D">
      <w:pPr>
        <w:pStyle w:val="ListParagraph"/>
        <w:numPr>
          <w:ilvl w:val="0"/>
          <w:numId w:val="2"/>
        </w:numPr>
        <w:spacing w:line="360" w:lineRule="auto"/>
        <w:jc w:val="both"/>
        <w:rPr>
          <w:rFonts w:ascii="Aptos" w:hAnsi="Aptos" w:cs="Arial"/>
        </w:rPr>
      </w:pPr>
      <w:r w:rsidRPr="00720A49">
        <w:rPr>
          <w:rFonts w:ascii="Aptos" w:hAnsi="Aptos" w:cs="Arial"/>
        </w:rPr>
        <w:t>Weather variability</w:t>
      </w:r>
    </w:p>
    <w:p w14:paraId="41DF28E8" w14:textId="35D27FC2" w:rsidR="00D31E2A" w:rsidRPr="00720A49" w:rsidRDefault="00D31E2A" w:rsidP="00FF3E25">
      <w:pPr>
        <w:jc w:val="both"/>
        <w:rPr>
          <w:rFonts w:ascii="Aptos" w:eastAsia="Calibri" w:hAnsi="Aptos" w:cs="Arial"/>
        </w:rPr>
      </w:pPr>
      <w:r w:rsidRPr="00720A49">
        <w:rPr>
          <w:rFonts w:ascii="Aptos" w:hAnsi="Aptos" w:cs="Arial"/>
        </w:rPr>
        <w:t xml:space="preserve">A </w:t>
      </w:r>
      <w:r w:rsidR="0088608F" w:rsidRPr="00720A49">
        <w:rPr>
          <w:rFonts w:ascii="Aptos" w:hAnsi="Aptos" w:cs="Arial"/>
        </w:rPr>
        <w:t xml:space="preserve">stochastic </w:t>
      </w:r>
      <w:r w:rsidRPr="00720A49">
        <w:rPr>
          <w:rFonts w:ascii="Aptos" w:hAnsi="Aptos" w:cs="Arial"/>
        </w:rPr>
        <w:t xml:space="preserve">production cost model </w:t>
      </w:r>
      <w:r w:rsidR="004527DC" w:rsidRPr="00720A49">
        <w:rPr>
          <w:rFonts w:ascii="Aptos" w:hAnsi="Aptos" w:cs="Arial"/>
        </w:rPr>
        <w:t xml:space="preserve">is </w:t>
      </w:r>
      <w:r w:rsidRPr="00720A49">
        <w:rPr>
          <w:rFonts w:ascii="Aptos" w:hAnsi="Aptos" w:cs="Arial"/>
        </w:rPr>
        <w:t xml:space="preserve">used to simulate sub-hourly real-time interactions and allocate hourly resources for operating reserves to manage </w:t>
      </w:r>
      <w:r w:rsidR="004527DC" w:rsidRPr="00720A49">
        <w:rPr>
          <w:rFonts w:ascii="Aptos" w:hAnsi="Aptos" w:cs="Arial"/>
        </w:rPr>
        <w:t xml:space="preserve">hourly </w:t>
      </w:r>
      <w:r w:rsidRPr="00720A49">
        <w:rPr>
          <w:rFonts w:ascii="Aptos" w:hAnsi="Aptos" w:cs="Arial"/>
        </w:rPr>
        <w:t xml:space="preserve">weather-driven variations. The </w:t>
      </w:r>
      <w:r w:rsidR="00E5107B" w:rsidRPr="00720A49">
        <w:rPr>
          <w:rFonts w:ascii="Aptos" w:hAnsi="Aptos" w:cs="Arial"/>
        </w:rPr>
        <w:t xml:space="preserve">system </w:t>
      </w:r>
      <w:r w:rsidR="008E0E6E" w:rsidRPr="00720A49">
        <w:rPr>
          <w:rFonts w:ascii="Aptos" w:hAnsi="Aptos" w:cs="Arial"/>
        </w:rPr>
        <w:t xml:space="preserve">is </w:t>
      </w:r>
      <w:r w:rsidR="002564F3" w:rsidRPr="00720A49">
        <w:rPr>
          <w:rFonts w:ascii="Aptos" w:hAnsi="Aptos" w:cs="Arial"/>
        </w:rPr>
        <w:t xml:space="preserve">first </w:t>
      </w:r>
      <w:r w:rsidR="00E5107B" w:rsidRPr="00720A49">
        <w:rPr>
          <w:rFonts w:ascii="Aptos" w:hAnsi="Aptos" w:cs="Arial"/>
        </w:rPr>
        <w:t xml:space="preserve">simulated without renewable resources to establish a reliability baseline. The </w:t>
      </w:r>
      <w:r w:rsidR="00F51A14" w:rsidRPr="00720A49">
        <w:rPr>
          <w:rFonts w:ascii="Aptos" w:hAnsi="Aptos" w:cs="Arial"/>
        </w:rPr>
        <w:t>RIS</w:t>
      </w:r>
      <w:r w:rsidR="00E5107B" w:rsidRPr="00720A49">
        <w:rPr>
          <w:rFonts w:ascii="Aptos" w:hAnsi="Aptos" w:cs="Arial"/>
        </w:rPr>
        <w:t xml:space="preserve"> </w:t>
      </w:r>
      <w:r w:rsidR="00DE50F8" w:rsidRPr="00720A49">
        <w:rPr>
          <w:rFonts w:ascii="Aptos" w:hAnsi="Aptos" w:cs="Arial"/>
        </w:rPr>
        <w:t>then</w:t>
      </w:r>
      <w:r w:rsidR="00E5107B" w:rsidRPr="00720A49">
        <w:rPr>
          <w:rFonts w:ascii="Aptos" w:hAnsi="Aptos" w:cs="Arial"/>
        </w:rPr>
        <w:t xml:space="preserve"> determine</w:t>
      </w:r>
      <w:r w:rsidR="002564F3" w:rsidRPr="00720A49">
        <w:rPr>
          <w:rFonts w:ascii="Aptos" w:hAnsi="Aptos" w:cs="Arial"/>
        </w:rPr>
        <w:t>s</w:t>
      </w:r>
      <w:r w:rsidR="00E5107B" w:rsidRPr="00720A49">
        <w:rPr>
          <w:rFonts w:ascii="Aptos" w:hAnsi="Aptos" w:cs="Arial"/>
        </w:rPr>
        <w:t xml:space="preserve"> the sub-hourly reliability impacts of </w:t>
      </w:r>
      <w:r w:rsidR="00602362" w:rsidRPr="00720A49">
        <w:rPr>
          <w:rFonts w:ascii="Aptos" w:hAnsi="Aptos" w:cs="Arial"/>
        </w:rPr>
        <w:t xml:space="preserve">adding </w:t>
      </w:r>
      <w:r w:rsidR="00E5107B" w:rsidRPr="00720A49">
        <w:rPr>
          <w:rFonts w:ascii="Aptos" w:hAnsi="Aptos" w:cs="Arial"/>
        </w:rPr>
        <w:t xml:space="preserve">renewable resources and </w:t>
      </w:r>
      <w:r w:rsidR="002564F3" w:rsidRPr="00720A49">
        <w:rPr>
          <w:rFonts w:ascii="Aptos" w:hAnsi="Aptos" w:cs="Arial"/>
        </w:rPr>
        <w:t xml:space="preserve">identifies </w:t>
      </w:r>
      <w:r w:rsidR="00E5107B" w:rsidRPr="00720A49">
        <w:rPr>
          <w:rFonts w:ascii="Aptos" w:hAnsi="Aptos" w:cs="Arial"/>
        </w:rPr>
        <w:t>the costs to mitigate those impacts. The reliability impacts represent the inability to routinely balance load on a defined time interval (</w:t>
      </w:r>
      <w:r w:rsidR="002564F3" w:rsidRPr="00720A49">
        <w:rPr>
          <w:rFonts w:ascii="Aptos" w:hAnsi="Aptos" w:cs="Arial"/>
        </w:rPr>
        <w:t>e.g.,</w:t>
      </w:r>
      <w:r w:rsidR="00E5107B" w:rsidRPr="00720A49">
        <w:rPr>
          <w:rFonts w:ascii="Aptos" w:hAnsi="Aptos" w:cs="Arial"/>
        </w:rPr>
        <w:t xml:space="preserve"> </w:t>
      </w:r>
      <w:r w:rsidR="002564F3" w:rsidRPr="00720A49">
        <w:rPr>
          <w:rFonts w:ascii="Aptos" w:hAnsi="Aptos" w:cs="Arial"/>
        </w:rPr>
        <w:t xml:space="preserve">5 </w:t>
      </w:r>
      <w:r w:rsidR="00E5107B" w:rsidRPr="00720A49">
        <w:rPr>
          <w:rFonts w:ascii="Aptos" w:hAnsi="Aptos" w:cs="Arial"/>
        </w:rPr>
        <w:t xml:space="preserve">minutes). Mitigation techniques include increased load-following reserves and the introduction of additional flexible resources to the system. The </w:t>
      </w:r>
      <w:r w:rsidR="00EE3082" w:rsidRPr="00720A49">
        <w:rPr>
          <w:rFonts w:ascii="Aptos" w:hAnsi="Aptos" w:cs="Arial"/>
        </w:rPr>
        <w:t xml:space="preserve">RIS </w:t>
      </w:r>
      <w:r w:rsidR="00E5107B" w:rsidRPr="00720A49">
        <w:rPr>
          <w:rFonts w:ascii="Aptos" w:hAnsi="Aptos" w:cs="Arial"/>
        </w:rPr>
        <w:t>isolate</w:t>
      </w:r>
      <w:r w:rsidR="00EE3082" w:rsidRPr="00720A49">
        <w:rPr>
          <w:rFonts w:ascii="Aptos" w:hAnsi="Aptos" w:cs="Arial"/>
        </w:rPr>
        <w:t>s</w:t>
      </w:r>
      <w:r w:rsidR="00E5107B" w:rsidRPr="00720A49">
        <w:rPr>
          <w:rFonts w:ascii="Aptos" w:hAnsi="Aptos" w:cs="Arial"/>
        </w:rPr>
        <w:t xml:space="preserve"> sub-hourly reliability impacts from the </w:t>
      </w:r>
      <w:r w:rsidR="004527DC" w:rsidRPr="00720A49">
        <w:rPr>
          <w:rFonts w:ascii="Aptos" w:hAnsi="Aptos" w:cs="Arial"/>
        </w:rPr>
        <w:t xml:space="preserve">resource adequacy </w:t>
      </w:r>
      <w:r w:rsidR="00E5107B" w:rsidRPr="00720A49">
        <w:rPr>
          <w:rFonts w:ascii="Aptos" w:hAnsi="Aptos" w:cs="Arial"/>
        </w:rPr>
        <w:t>of the system by maintaining a consistent Loss of Load Expectation (</w:t>
      </w:r>
      <w:r w:rsidR="00C174CA" w:rsidRPr="00720A49">
        <w:rPr>
          <w:rFonts w:ascii="Aptos" w:hAnsi="Aptos" w:cs="Arial"/>
        </w:rPr>
        <w:t>“</w:t>
      </w:r>
      <w:r w:rsidR="00E5107B" w:rsidRPr="00720A49">
        <w:rPr>
          <w:rFonts w:ascii="Aptos" w:hAnsi="Aptos" w:cs="Arial"/>
        </w:rPr>
        <w:t>LOLE</w:t>
      </w:r>
      <w:r w:rsidR="00C174CA" w:rsidRPr="00720A49">
        <w:rPr>
          <w:rFonts w:ascii="Aptos" w:hAnsi="Aptos" w:cs="Arial"/>
        </w:rPr>
        <w:t>”</w:t>
      </w:r>
      <w:r w:rsidR="00E5107B" w:rsidRPr="00720A49">
        <w:rPr>
          <w:rFonts w:ascii="Aptos" w:hAnsi="Aptos" w:cs="Arial"/>
        </w:rPr>
        <w:t xml:space="preserve">) across all simulations. The identified mitigation costs </w:t>
      </w:r>
      <w:r w:rsidR="00197B09" w:rsidRPr="00720A49">
        <w:rPr>
          <w:rFonts w:ascii="Aptos" w:hAnsi="Aptos" w:cs="Arial"/>
        </w:rPr>
        <w:t>are</w:t>
      </w:r>
      <w:r w:rsidR="00602362" w:rsidRPr="00720A49">
        <w:rPr>
          <w:rFonts w:ascii="Aptos" w:hAnsi="Aptos" w:cs="Arial"/>
        </w:rPr>
        <w:t xml:space="preserve"> </w:t>
      </w:r>
      <w:r w:rsidR="00E5107B" w:rsidRPr="00720A49">
        <w:rPr>
          <w:rFonts w:ascii="Aptos" w:hAnsi="Aptos" w:cs="Arial"/>
        </w:rPr>
        <w:t xml:space="preserve">divided by the renewable generation to develop </w:t>
      </w:r>
      <w:r w:rsidR="00B00F5C" w:rsidRPr="00720A49">
        <w:rPr>
          <w:rFonts w:ascii="Aptos" w:hAnsi="Aptos" w:cs="Arial"/>
        </w:rPr>
        <w:t xml:space="preserve">an </w:t>
      </w:r>
      <w:r w:rsidR="00E5107B" w:rsidRPr="00720A49">
        <w:rPr>
          <w:rFonts w:ascii="Aptos" w:hAnsi="Aptos" w:cs="Arial"/>
        </w:rPr>
        <w:t>Integration Cost in $/MWh</w:t>
      </w:r>
      <w:r w:rsidR="00807AEB" w:rsidRPr="00720A49">
        <w:rPr>
          <w:rFonts w:ascii="Aptos" w:hAnsi="Aptos" w:cs="Arial"/>
        </w:rPr>
        <w:t>.</w:t>
      </w:r>
      <w:r w:rsidRPr="00720A49">
        <w:rPr>
          <w:rFonts w:ascii="Aptos" w:hAnsi="Aptos" w:cs="Arial"/>
        </w:rPr>
        <w:t xml:space="preserve"> </w:t>
      </w:r>
    </w:p>
    <w:p w14:paraId="04A105C0" w14:textId="758DD588" w:rsidR="00E5107B" w:rsidRPr="00720A49" w:rsidRDefault="00E5107B" w:rsidP="00FF3E25">
      <w:pPr>
        <w:jc w:val="both"/>
        <w:rPr>
          <w:rFonts w:ascii="Aptos" w:hAnsi="Aptos" w:cs="Arial"/>
        </w:rPr>
      </w:pPr>
      <w:r w:rsidRPr="00720A49">
        <w:rPr>
          <w:rFonts w:ascii="Aptos" w:hAnsi="Aptos" w:cs="Arial"/>
        </w:rPr>
        <w:lastRenderedPageBreak/>
        <w:t xml:space="preserve">The methodology allows for the </w:t>
      </w:r>
      <w:r w:rsidR="00C174CA" w:rsidRPr="00720A49">
        <w:rPr>
          <w:rFonts w:ascii="Aptos" w:hAnsi="Aptos" w:cs="Arial"/>
        </w:rPr>
        <w:t>RIS</w:t>
      </w:r>
      <w:r w:rsidRPr="00720A49">
        <w:rPr>
          <w:rFonts w:ascii="Aptos" w:hAnsi="Aptos" w:cs="Arial"/>
        </w:rPr>
        <w:t xml:space="preserve"> to be completed by Southern Company personnel or contracted to an established industry consultant</w:t>
      </w:r>
      <w:r w:rsidR="005A6BBB" w:rsidRPr="00720A49">
        <w:rPr>
          <w:rFonts w:ascii="Aptos" w:hAnsi="Aptos" w:cs="Arial"/>
        </w:rPr>
        <w:t xml:space="preserve"> </w:t>
      </w:r>
      <w:r w:rsidR="002564F3" w:rsidRPr="00720A49">
        <w:rPr>
          <w:rFonts w:ascii="Aptos" w:hAnsi="Aptos" w:cs="Arial"/>
        </w:rPr>
        <w:t xml:space="preserve">and </w:t>
      </w:r>
      <w:r w:rsidRPr="00720A49">
        <w:rPr>
          <w:rFonts w:ascii="Aptos" w:hAnsi="Aptos" w:cs="Arial"/>
        </w:rPr>
        <w:t>allows for different renewable technologies to be studied independently to determine technology</w:t>
      </w:r>
      <w:r w:rsidR="00220ED4" w:rsidRPr="00720A49">
        <w:rPr>
          <w:rFonts w:ascii="Aptos" w:hAnsi="Aptos" w:cs="Arial"/>
        </w:rPr>
        <w:t>-</w:t>
      </w:r>
      <w:r w:rsidRPr="00720A49">
        <w:rPr>
          <w:rFonts w:ascii="Aptos" w:hAnsi="Aptos" w:cs="Arial"/>
        </w:rPr>
        <w:t>specific Integration Costs.</w:t>
      </w:r>
      <w:r w:rsidR="00AE7218" w:rsidRPr="00720A49">
        <w:rPr>
          <w:rStyle w:val="FootnoteReference"/>
          <w:rFonts w:ascii="Aptos" w:hAnsi="Aptos" w:cs="Arial"/>
        </w:rPr>
        <w:footnoteReference w:id="2"/>
      </w:r>
    </w:p>
    <w:p w14:paraId="0E184666" w14:textId="24FCA41A" w:rsidR="0019777B" w:rsidRPr="00720A49" w:rsidRDefault="0019777B" w:rsidP="0019777B">
      <w:pPr>
        <w:pStyle w:val="Heading2"/>
        <w:rPr>
          <w:rFonts w:ascii="Aptos" w:hAnsi="Aptos"/>
        </w:rPr>
      </w:pPr>
      <w:r w:rsidRPr="00720A49">
        <w:rPr>
          <w:rFonts w:ascii="Aptos" w:hAnsi="Aptos"/>
        </w:rPr>
        <w:t>Renewable Energy Certificates</w:t>
      </w:r>
    </w:p>
    <w:p w14:paraId="76CB3B8A" w14:textId="2446DE19" w:rsidR="0019777B" w:rsidRPr="00720A49" w:rsidRDefault="0019777B" w:rsidP="00FF3E25">
      <w:pPr>
        <w:jc w:val="both"/>
        <w:rPr>
          <w:rFonts w:ascii="Aptos" w:hAnsi="Aptos" w:cs="Arial"/>
        </w:rPr>
      </w:pPr>
      <w:r w:rsidRPr="00720A49">
        <w:rPr>
          <w:rFonts w:ascii="Aptos" w:hAnsi="Aptos" w:cs="Arial"/>
        </w:rPr>
        <w:t>The value of REC</w:t>
      </w:r>
      <w:r w:rsidR="007E04C2" w:rsidRPr="00720A49">
        <w:rPr>
          <w:rFonts w:ascii="Aptos" w:hAnsi="Aptos" w:cs="Arial"/>
        </w:rPr>
        <w:t>s</w:t>
      </w:r>
      <w:r w:rsidRPr="00720A49">
        <w:rPr>
          <w:rFonts w:ascii="Aptos" w:hAnsi="Aptos" w:cs="Arial"/>
        </w:rPr>
        <w:t xml:space="preserve"> is market driven and may fluctuate in real time. REC forecasts are available from private firms that specialize in providing environmental commodity data and analytics. When it is anticipated that REC value can be realized in a liquid market, the projected value should be based on a reputable market forecast. To calculate REC value in years beyond available foreca</w:t>
      </w:r>
      <w:r w:rsidR="00B6461F" w:rsidRPr="00720A49">
        <w:rPr>
          <w:rFonts w:ascii="Aptos" w:hAnsi="Aptos" w:cs="Arial"/>
        </w:rPr>
        <w:t>st data, an appropriate compound annual growth rate may be used.</w:t>
      </w:r>
      <w:r w:rsidRPr="00720A49">
        <w:rPr>
          <w:rFonts w:ascii="Aptos" w:hAnsi="Aptos" w:cs="Arial"/>
        </w:rPr>
        <w:t xml:space="preserve"> </w:t>
      </w:r>
    </w:p>
    <w:p w14:paraId="715928E5" w14:textId="77777777" w:rsidR="00667AB9" w:rsidRPr="00720A49" w:rsidRDefault="0003394F" w:rsidP="005C194E">
      <w:pPr>
        <w:spacing w:line="360" w:lineRule="auto"/>
        <w:jc w:val="both"/>
        <w:rPr>
          <w:rFonts w:ascii="Aptos" w:hAnsi="Aptos" w:cs="Arial"/>
          <w:b/>
        </w:rPr>
      </w:pPr>
      <w:r w:rsidRPr="00720A49">
        <w:rPr>
          <w:rFonts w:ascii="Aptos" w:hAnsi="Aptos" w:cs="Arial"/>
          <w:b/>
        </w:rPr>
        <w:br w:type="page"/>
      </w:r>
    </w:p>
    <w:p w14:paraId="5627DE44" w14:textId="008ACBB1" w:rsidR="00667AB9" w:rsidRPr="00720A49" w:rsidRDefault="00667AB9" w:rsidP="00DD5185">
      <w:pPr>
        <w:pStyle w:val="Heading1"/>
        <w:numPr>
          <w:ilvl w:val="0"/>
          <w:numId w:val="0"/>
        </w:numPr>
        <w:rPr>
          <w:rFonts w:ascii="Aptos" w:hAnsi="Aptos"/>
        </w:rPr>
      </w:pPr>
      <w:bookmarkStart w:id="30" w:name="_Toc163569786"/>
      <w:bookmarkStart w:id="31" w:name="_Hlk83718340"/>
      <w:r w:rsidRPr="00720A49">
        <w:rPr>
          <w:rFonts w:ascii="Aptos" w:hAnsi="Aptos"/>
        </w:rPr>
        <w:lastRenderedPageBreak/>
        <w:t>APPENDIX A – REFERENCE CONNECTIONS</w:t>
      </w:r>
      <w:bookmarkEnd w:id="30"/>
    </w:p>
    <w:bookmarkEnd w:id="31"/>
    <w:p w14:paraId="14ED4DA3" w14:textId="30525DC2" w:rsidR="00667AB9" w:rsidRPr="00720A49" w:rsidRDefault="00667AB9" w:rsidP="00FF3E25">
      <w:pPr>
        <w:jc w:val="both"/>
        <w:rPr>
          <w:rFonts w:ascii="Aptos" w:hAnsi="Aptos" w:cs="Arial"/>
        </w:rPr>
      </w:pPr>
      <w:r w:rsidRPr="00720A49">
        <w:rPr>
          <w:rFonts w:ascii="Aptos" w:hAnsi="Aptos" w:cs="Arial"/>
        </w:rPr>
        <w:t xml:space="preserve">The various connection types shown are for illustrative purposes only.  For </w:t>
      </w:r>
      <w:r w:rsidR="00CA55F6" w:rsidRPr="00720A49">
        <w:rPr>
          <w:rFonts w:ascii="Aptos" w:hAnsi="Aptos" w:cs="Arial"/>
        </w:rPr>
        <w:t>Utility-scale</w:t>
      </w:r>
      <w:r w:rsidRPr="00720A49">
        <w:rPr>
          <w:rFonts w:ascii="Aptos" w:hAnsi="Aptos" w:cs="Arial"/>
        </w:rPr>
        <w:t xml:space="preserve"> – Transmission (US-T), </w:t>
      </w:r>
      <w:r w:rsidR="00CA55F6" w:rsidRPr="00720A49">
        <w:rPr>
          <w:rFonts w:ascii="Aptos" w:hAnsi="Aptos" w:cs="Arial"/>
        </w:rPr>
        <w:t>Utility-scale</w:t>
      </w:r>
      <w:r w:rsidRPr="00720A49">
        <w:rPr>
          <w:rFonts w:ascii="Aptos" w:hAnsi="Aptos" w:cs="Arial"/>
        </w:rPr>
        <w:t xml:space="preserve"> – Distribution (US-D), and </w:t>
      </w:r>
      <w:proofErr w:type="gramStart"/>
      <w:r w:rsidRPr="00720A49">
        <w:rPr>
          <w:rFonts w:ascii="Aptos" w:hAnsi="Aptos" w:cs="Arial"/>
        </w:rPr>
        <w:t>Distributed</w:t>
      </w:r>
      <w:proofErr w:type="gramEnd"/>
      <w:r w:rsidRPr="00720A49">
        <w:rPr>
          <w:rFonts w:ascii="Aptos" w:hAnsi="Aptos" w:cs="Arial"/>
        </w:rPr>
        <w:t xml:space="preserve"> – Greenfield (DG-G), the exact interconnection configuration will be determined by the respective Operating Company.</w:t>
      </w:r>
    </w:p>
    <w:p w14:paraId="0CF8F3B3" w14:textId="62F8224F" w:rsidR="00667AB9" w:rsidRPr="00720A49" w:rsidRDefault="00CA55F6" w:rsidP="0098714A">
      <w:pPr>
        <w:pStyle w:val="Heading2"/>
        <w:rPr>
          <w:rFonts w:ascii="Aptos" w:hAnsi="Aptos"/>
        </w:rPr>
      </w:pPr>
      <w:r w:rsidRPr="00720A49">
        <w:rPr>
          <w:rFonts w:ascii="Aptos" w:hAnsi="Aptos"/>
        </w:rPr>
        <w:t>Utility-</w:t>
      </w:r>
      <w:r w:rsidR="00E5655C" w:rsidRPr="00720A49">
        <w:rPr>
          <w:rFonts w:ascii="Aptos" w:hAnsi="Aptos"/>
        </w:rPr>
        <w:t>S</w:t>
      </w:r>
      <w:r w:rsidRPr="00720A49">
        <w:rPr>
          <w:rFonts w:ascii="Aptos" w:hAnsi="Aptos"/>
        </w:rPr>
        <w:t>cale</w:t>
      </w:r>
      <w:r w:rsidR="00667AB9" w:rsidRPr="00720A49">
        <w:rPr>
          <w:rFonts w:ascii="Aptos" w:hAnsi="Aptos"/>
        </w:rPr>
        <w:t xml:space="preserve"> – Transmission (US-T)</w:t>
      </w:r>
    </w:p>
    <w:p w14:paraId="45A9E3AF" w14:textId="77777777" w:rsidR="00667AB9" w:rsidRPr="00720A49" w:rsidRDefault="00667AB9" w:rsidP="00667AB9">
      <w:pPr>
        <w:spacing w:line="240" w:lineRule="auto"/>
        <w:rPr>
          <w:rFonts w:ascii="Aptos" w:hAnsi="Aptos" w:cs="Arial"/>
          <w:b/>
        </w:rPr>
      </w:pPr>
    </w:p>
    <w:p w14:paraId="21907942" w14:textId="77777777" w:rsidR="00667AB9" w:rsidRPr="00720A49" w:rsidRDefault="00667AB9" w:rsidP="00667AB9">
      <w:pPr>
        <w:spacing w:line="240" w:lineRule="auto"/>
        <w:rPr>
          <w:rFonts w:ascii="Aptos" w:hAnsi="Aptos" w:cs="Arial"/>
          <w:b/>
        </w:rPr>
      </w:pPr>
      <w:r w:rsidRPr="00720A49">
        <w:rPr>
          <w:rFonts w:ascii="Aptos" w:hAnsi="Aptos" w:cs="Arial"/>
          <w:b/>
          <w:noProof/>
        </w:rPr>
        <w:drawing>
          <wp:inline distT="0" distB="0" distL="0" distR="0" wp14:anchorId="3EB89B0B" wp14:editId="51CC579F">
            <wp:extent cx="5057775" cy="3409810"/>
            <wp:effectExtent l="0" t="0" r="0" b="63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8594" cy="3410362"/>
                    </a:xfrm>
                    <a:prstGeom prst="rect">
                      <a:avLst/>
                    </a:prstGeom>
                    <a:noFill/>
                  </pic:spPr>
                </pic:pic>
              </a:graphicData>
            </a:graphic>
          </wp:inline>
        </w:drawing>
      </w:r>
    </w:p>
    <w:p w14:paraId="3E8893CC" w14:textId="77777777" w:rsidR="00667AB9" w:rsidRPr="00720A49" w:rsidRDefault="00667AB9" w:rsidP="00667AB9">
      <w:pPr>
        <w:spacing w:line="240" w:lineRule="auto"/>
        <w:rPr>
          <w:rFonts w:ascii="Aptos" w:hAnsi="Aptos" w:cs="Arial"/>
          <w:b/>
        </w:rPr>
      </w:pPr>
    </w:p>
    <w:p w14:paraId="189AC324" w14:textId="77777777" w:rsidR="00667AB9" w:rsidRPr="00720A49" w:rsidRDefault="00667AB9" w:rsidP="00667AB9">
      <w:pPr>
        <w:rPr>
          <w:rFonts w:ascii="Aptos" w:hAnsi="Aptos" w:cs="Arial"/>
          <w:b/>
        </w:rPr>
      </w:pPr>
      <w:r w:rsidRPr="00720A49">
        <w:rPr>
          <w:rFonts w:ascii="Aptos" w:hAnsi="Aptos" w:cs="Arial"/>
          <w:b/>
        </w:rPr>
        <w:br w:type="page"/>
      </w:r>
    </w:p>
    <w:p w14:paraId="043D013E" w14:textId="64490943" w:rsidR="00667AB9" w:rsidRPr="00720A49" w:rsidRDefault="00CA55F6" w:rsidP="0098714A">
      <w:pPr>
        <w:pStyle w:val="Heading2"/>
        <w:rPr>
          <w:rFonts w:ascii="Aptos" w:hAnsi="Aptos"/>
        </w:rPr>
      </w:pPr>
      <w:r w:rsidRPr="00720A49">
        <w:rPr>
          <w:rFonts w:ascii="Aptos" w:hAnsi="Aptos"/>
        </w:rPr>
        <w:lastRenderedPageBreak/>
        <w:t>Utility-</w:t>
      </w:r>
      <w:r w:rsidR="00E5655C" w:rsidRPr="00720A49">
        <w:rPr>
          <w:rFonts w:ascii="Aptos" w:hAnsi="Aptos"/>
        </w:rPr>
        <w:t>S</w:t>
      </w:r>
      <w:r w:rsidRPr="00720A49">
        <w:rPr>
          <w:rFonts w:ascii="Aptos" w:hAnsi="Aptos"/>
        </w:rPr>
        <w:t>cale</w:t>
      </w:r>
      <w:r w:rsidR="00667AB9" w:rsidRPr="00720A49">
        <w:rPr>
          <w:rFonts w:ascii="Aptos" w:hAnsi="Aptos"/>
        </w:rPr>
        <w:t xml:space="preserve"> – Distribution (US-D)</w:t>
      </w:r>
    </w:p>
    <w:p w14:paraId="33654DBD" w14:textId="77777777" w:rsidR="00667AB9" w:rsidRPr="00720A49" w:rsidRDefault="00667AB9" w:rsidP="00667AB9">
      <w:pPr>
        <w:spacing w:line="240" w:lineRule="auto"/>
        <w:rPr>
          <w:rFonts w:ascii="Aptos" w:hAnsi="Aptos" w:cs="Arial"/>
          <w:b/>
        </w:rPr>
      </w:pPr>
    </w:p>
    <w:p w14:paraId="50641790" w14:textId="292AAD2C" w:rsidR="00667AB9" w:rsidRPr="00720A49" w:rsidRDefault="52DD86FC" w:rsidP="00667AB9">
      <w:pPr>
        <w:spacing w:line="240" w:lineRule="auto"/>
        <w:rPr>
          <w:rFonts w:ascii="Aptos" w:hAnsi="Aptos" w:cs="Arial"/>
          <w:b/>
        </w:rPr>
      </w:pPr>
      <w:r w:rsidRPr="00720A49">
        <w:rPr>
          <w:rFonts w:ascii="Aptos" w:hAnsi="Aptos"/>
          <w:noProof/>
        </w:rPr>
        <w:drawing>
          <wp:inline distT="0" distB="0" distL="0" distR="0" wp14:anchorId="4438BE96" wp14:editId="472F7817">
            <wp:extent cx="5503029" cy="313372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pic:nvPicPr>
                  <pic:blipFill>
                    <a:blip r:embed="rId12">
                      <a:extLst>
                        <a:ext uri="{28A0092B-C50C-407E-A947-70E740481C1C}">
                          <a14:useLocalDpi xmlns:a14="http://schemas.microsoft.com/office/drawing/2010/main" val="0"/>
                        </a:ext>
                      </a:extLst>
                    </a:blip>
                    <a:stretch>
                      <a:fillRect/>
                    </a:stretch>
                  </pic:blipFill>
                  <pic:spPr>
                    <a:xfrm>
                      <a:off x="0" y="0"/>
                      <a:ext cx="5503029" cy="3133725"/>
                    </a:xfrm>
                    <a:prstGeom prst="rect">
                      <a:avLst/>
                    </a:prstGeom>
                  </pic:spPr>
                </pic:pic>
              </a:graphicData>
            </a:graphic>
          </wp:inline>
        </w:drawing>
      </w:r>
    </w:p>
    <w:p w14:paraId="69EB6B4B" w14:textId="77777777" w:rsidR="00E92A2F" w:rsidRPr="00727F8E" w:rsidRDefault="00E92A2F" w:rsidP="00E92A2F">
      <w:pPr>
        <w:spacing w:line="240" w:lineRule="auto"/>
        <w:rPr>
          <w:rFonts w:cs="Arial"/>
          <w:b/>
        </w:rPr>
      </w:pPr>
    </w:p>
    <w:p w14:paraId="0780115D" w14:textId="77777777" w:rsidR="00E92A2F" w:rsidRPr="00727F8E" w:rsidRDefault="00E92A2F" w:rsidP="00E92A2F">
      <w:pPr>
        <w:spacing w:line="240" w:lineRule="auto"/>
        <w:rPr>
          <w:rFonts w:cs="Arial"/>
          <w:b/>
        </w:rPr>
      </w:pPr>
      <w:r w:rsidRPr="00727F8E">
        <w:rPr>
          <w:rFonts w:cs="Arial"/>
          <w:b/>
        </w:rPr>
        <w:t>Distributed – Greenfield (DG-G)</w:t>
      </w:r>
    </w:p>
    <w:p w14:paraId="5726CC97" w14:textId="77777777" w:rsidR="00E92A2F" w:rsidRPr="00727F8E" w:rsidRDefault="00E92A2F" w:rsidP="00E92A2F">
      <w:pPr>
        <w:spacing w:line="240" w:lineRule="auto"/>
        <w:rPr>
          <w:rFonts w:cs="Arial"/>
          <w:b/>
        </w:rPr>
      </w:pPr>
      <w:r w:rsidRPr="00727F8E">
        <w:rPr>
          <w:rFonts w:cs="Arial"/>
          <w:b/>
          <w:noProof/>
        </w:rPr>
        <w:drawing>
          <wp:inline distT="0" distB="0" distL="0" distR="0" wp14:anchorId="009243D7" wp14:editId="7FF414BB">
            <wp:extent cx="5166585" cy="34194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64717" cy="3418239"/>
                    </a:xfrm>
                    <a:prstGeom prst="rect">
                      <a:avLst/>
                    </a:prstGeom>
                    <a:noFill/>
                  </pic:spPr>
                </pic:pic>
              </a:graphicData>
            </a:graphic>
          </wp:inline>
        </w:drawing>
      </w:r>
    </w:p>
    <w:p w14:paraId="0683925A" w14:textId="77777777" w:rsidR="00E92A2F" w:rsidRPr="00727F8E" w:rsidRDefault="00E92A2F" w:rsidP="00E92A2F">
      <w:pPr>
        <w:spacing w:line="240" w:lineRule="auto"/>
        <w:rPr>
          <w:rFonts w:cs="Arial"/>
          <w:b/>
        </w:rPr>
      </w:pPr>
    </w:p>
    <w:p w14:paraId="44DE9DD5" w14:textId="77777777" w:rsidR="00E21DF1" w:rsidRPr="00720A49" w:rsidRDefault="00E21DF1" w:rsidP="00667AB9">
      <w:pPr>
        <w:spacing w:line="240" w:lineRule="auto"/>
        <w:rPr>
          <w:rFonts w:ascii="Aptos" w:hAnsi="Aptos" w:cs="Arial"/>
          <w:b/>
        </w:rPr>
      </w:pPr>
    </w:p>
    <w:p w14:paraId="1EF64768" w14:textId="77777777" w:rsidR="006621F2" w:rsidRPr="00727F8E" w:rsidRDefault="006621F2" w:rsidP="006621F2">
      <w:pPr>
        <w:spacing w:line="240" w:lineRule="auto"/>
        <w:rPr>
          <w:rFonts w:cs="Arial"/>
          <w:b/>
        </w:rPr>
      </w:pPr>
      <w:r w:rsidRPr="00727F8E">
        <w:rPr>
          <w:rFonts w:cs="Arial"/>
          <w:b/>
        </w:rPr>
        <w:lastRenderedPageBreak/>
        <w:t>Distributed – Metered (DG-M)</w:t>
      </w:r>
    </w:p>
    <w:p w14:paraId="691E2EA1" w14:textId="77777777" w:rsidR="006621F2" w:rsidRPr="00727F8E" w:rsidRDefault="006621F2" w:rsidP="006621F2">
      <w:pPr>
        <w:spacing w:line="240" w:lineRule="auto"/>
        <w:rPr>
          <w:rFonts w:cs="Arial"/>
          <w:b/>
        </w:rPr>
      </w:pPr>
      <w:r w:rsidRPr="00727F8E">
        <w:rPr>
          <w:rFonts w:cs="Arial"/>
          <w:b/>
          <w:noProof/>
        </w:rPr>
        <w:drawing>
          <wp:inline distT="0" distB="0" distL="0" distR="0" wp14:anchorId="45EFCC20" wp14:editId="1B76C836">
            <wp:extent cx="3333750" cy="236136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4206" cy="2361691"/>
                    </a:xfrm>
                    <a:prstGeom prst="rect">
                      <a:avLst/>
                    </a:prstGeom>
                    <a:noFill/>
                  </pic:spPr>
                </pic:pic>
              </a:graphicData>
            </a:graphic>
          </wp:inline>
        </w:drawing>
      </w:r>
    </w:p>
    <w:p w14:paraId="59137E98" w14:textId="77777777" w:rsidR="00E92A2F" w:rsidRDefault="00E92A2F" w:rsidP="0098714A">
      <w:pPr>
        <w:pStyle w:val="Heading2"/>
        <w:rPr>
          <w:rFonts w:ascii="Aptos" w:hAnsi="Aptos"/>
        </w:rPr>
      </w:pPr>
    </w:p>
    <w:p w14:paraId="52AB63AD" w14:textId="77777777" w:rsidR="00667AB9" w:rsidRPr="00720A49" w:rsidRDefault="00667AB9" w:rsidP="0098714A">
      <w:pPr>
        <w:pStyle w:val="Heading2"/>
        <w:rPr>
          <w:rFonts w:ascii="Aptos" w:hAnsi="Aptos"/>
        </w:rPr>
      </w:pPr>
      <w:r w:rsidRPr="00720A49">
        <w:rPr>
          <w:rFonts w:ascii="Aptos" w:hAnsi="Aptos"/>
        </w:rPr>
        <w:t>Distributed – Behind the Meter (DG-BTM)</w:t>
      </w:r>
    </w:p>
    <w:p w14:paraId="498F4DE4" w14:textId="77777777" w:rsidR="00DD5185" w:rsidRPr="00720A49" w:rsidRDefault="00DD5185" w:rsidP="00DD5185">
      <w:pPr>
        <w:rPr>
          <w:rFonts w:ascii="Aptos" w:hAnsi="Aptos"/>
        </w:rPr>
      </w:pPr>
    </w:p>
    <w:p w14:paraId="0A8D54FB" w14:textId="02459C6A" w:rsidR="00667AB9" w:rsidRPr="00720A49" w:rsidRDefault="00667AB9" w:rsidP="00667AB9">
      <w:pPr>
        <w:spacing w:line="240" w:lineRule="auto"/>
        <w:rPr>
          <w:rFonts w:ascii="Aptos" w:hAnsi="Aptos" w:cs="Arial"/>
          <w:b/>
        </w:rPr>
      </w:pPr>
      <w:r w:rsidRPr="00720A49">
        <w:rPr>
          <w:rFonts w:ascii="Aptos" w:hAnsi="Aptos" w:cs="Arial"/>
          <w:b/>
          <w:noProof/>
        </w:rPr>
        <w:drawing>
          <wp:inline distT="0" distB="0" distL="0" distR="0" wp14:anchorId="084B73CD" wp14:editId="51A63B57">
            <wp:extent cx="3095625" cy="26545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6141" cy="2655014"/>
                    </a:xfrm>
                    <a:prstGeom prst="rect">
                      <a:avLst/>
                    </a:prstGeom>
                    <a:noFill/>
                  </pic:spPr>
                </pic:pic>
              </a:graphicData>
            </a:graphic>
          </wp:inline>
        </w:drawing>
      </w:r>
    </w:p>
    <w:sectPr w:rsidR="00667AB9" w:rsidRPr="00720A49">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5A913" w14:textId="77777777" w:rsidR="000A08FE" w:rsidRDefault="000A08FE" w:rsidP="0003394F">
      <w:pPr>
        <w:spacing w:after="0" w:line="240" w:lineRule="auto"/>
      </w:pPr>
      <w:r>
        <w:separator/>
      </w:r>
    </w:p>
  </w:endnote>
  <w:endnote w:type="continuationSeparator" w:id="0">
    <w:p w14:paraId="127E4BD1" w14:textId="77777777" w:rsidR="000A08FE" w:rsidRDefault="000A08FE" w:rsidP="0003394F">
      <w:pPr>
        <w:spacing w:after="0" w:line="240" w:lineRule="auto"/>
      </w:pPr>
      <w:r>
        <w:continuationSeparator/>
      </w:r>
    </w:p>
  </w:endnote>
  <w:endnote w:type="continuationNotice" w:id="1">
    <w:p w14:paraId="3B3A6B43" w14:textId="77777777" w:rsidR="000A08FE" w:rsidRDefault="000A08F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cs="Arial"/>
        <w:highlight w:val="yellow"/>
      </w:rPr>
      <w:id w:val="1909805804"/>
      <w:docPartObj>
        <w:docPartGallery w:val="Page Numbers (Bottom of Page)"/>
        <w:docPartUnique/>
      </w:docPartObj>
    </w:sdtPr>
    <w:sdtContent>
      <w:p w14:paraId="24C7E67D" w14:textId="293DBB38" w:rsidR="00A46222" w:rsidRPr="00C26502" w:rsidRDefault="00A46222" w:rsidP="000A000D">
        <w:pPr>
          <w:pStyle w:val="Footer"/>
          <w:pBdr>
            <w:top w:val="single" w:sz="4" w:space="1" w:color="auto"/>
          </w:pBdr>
          <w:jc w:val="right"/>
          <w:rPr>
            <w:rFonts w:ascii="Aptos" w:hAnsi="Aptos" w:cs="Arial"/>
          </w:rPr>
        </w:pPr>
        <w:r w:rsidRPr="00C26502">
          <w:rPr>
            <w:rFonts w:ascii="Aptos" w:hAnsi="Aptos" w:cs="Arial"/>
          </w:rPr>
          <w:fldChar w:fldCharType="begin"/>
        </w:r>
        <w:r w:rsidRPr="00C26502">
          <w:rPr>
            <w:rFonts w:ascii="Aptos" w:hAnsi="Aptos" w:cs="Arial"/>
          </w:rPr>
          <w:instrText xml:space="preserve"> PAGE   \* MERGEFORMAT </w:instrText>
        </w:r>
        <w:r w:rsidRPr="00C26502">
          <w:rPr>
            <w:rFonts w:ascii="Aptos" w:hAnsi="Aptos" w:cs="Arial"/>
          </w:rPr>
          <w:fldChar w:fldCharType="separate"/>
        </w:r>
        <w:r w:rsidRPr="00C26502">
          <w:rPr>
            <w:rFonts w:ascii="Aptos" w:hAnsi="Aptos" w:cs="Arial"/>
            <w:noProof/>
          </w:rPr>
          <w:t>49</w:t>
        </w:r>
        <w:r w:rsidRPr="00C26502">
          <w:rPr>
            <w:rFonts w:ascii="Aptos" w:hAnsi="Aptos"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9E078" w14:textId="77777777" w:rsidR="000A08FE" w:rsidRDefault="000A08FE" w:rsidP="0003394F">
      <w:pPr>
        <w:spacing w:after="0" w:line="240" w:lineRule="auto"/>
      </w:pPr>
      <w:r>
        <w:separator/>
      </w:r>
    </w:p>
  </w:footnote>
  <w:footnote w:type="continuationSeparator" w:id="0">
    <w:p w14:paraId="1B07D228" w14:textId="77777777" w:rsidR="000A08FE" w:rsidRDefault="000A08FE" w:rsidP="0003394F">
      <w:pPr>
        <w:spacing w:after="0" w:line="240" w:lineRule="auto"/>
      </w:pPr>
      <w:r>
        <w:continuationSeparator/>
      </w:r>
    </w:p>
  </w:footnote>
  <w:footnote w:type="continuationNotice" w:id="1">
    <w:p w14:paraId="6568DF46" w14:textId="77777777" w:rsidR="000A08FE" w:rsidRDefault="000A08FE">
      <w:pPr>
        <w:spacing w:before="0" w:after="0" w:line="240" w:lineRule="auto"/>
      </w:pPr>
    </w:p>
  </w:footnote>
  <w:footnote w:id="2">
    <w:p w14:paraId="4F15A0F8" w14:textId="68685960" w:rsidR="00AE7218" w:rsidRPr="00DD5185" w:rsidRDefault="00AE7218">
      <w:pPr>
        <w:pStyle w:val="FootnoteText"/>
        <w:rPr>
          <w:rFonts w:ascii="Aptos" w:hAnsi="Aptos"/>
        </w:rPr>
      </w:pPr>
      <w:r w:rsidRPr="00DD5185">
        <w:rPr>
          <w:rStyle w:val="FootnoteReference"/>
          <w:rFonts w:ascii="Aptos" w:hAnsi="Aptos"/>
        </w:rPr>
        <w:footnoteRef/>
      </w:r>
      <w:r w:rsidRPr="00DD5185">
        <w:rPr>
          <w:rFonts w:ascii="Aptos" w:hAnsi="Aptos"/>
        </w:rPr>
        <w:t xml:space="preserve"> The 2024 Renewable Integration Study can be found</w:t>
      </w:r>
      <w:r w:rsidR="003A2A9C" w:rsidRPr="00DD5185">
        <w:rPr>
          <w:rFonts w:ascii="Aptos" w:hAnsi="Aptos"/>
        </w:rPr>
        <w:t xml:space="preserve"> in</w:t>
      </w:r>
      <w:r w:rsidRPr="00DD5185">
        <w:rPr>
          <w:rFonts w:ascii="Aptos" w:hAnsi="Aptos"/>
        </w:rPr>
        <w:t xml:space="preserve"> </w:t>
      </w:r>
      <w:r w:rsidR="00587E16" w:rsidRPr="00DD5185">
        <w:rPr>
          <w:rFonts w:ascii="Aptos" w:hAnsi="Aptos"/>
        </w:rPr>
        <w:t xml:space="preserve">Technical Appendix Volume 2 of </w:t>
      </w:r>
      <w:r w:rsidR="001F796D" w:rsidRPr="00DD5185">
        <w:rPr>
          <w:rFonts w:ascii="Aptos" w:hAnsi="Aptos"/>
        </w:rPr>
        <w:t>Georgia Power Company’s</w:t>
      </w:r>
      <w:r w:rsidR="00587E16" w:rsidRPr="00DD5185">
        <w:rPr>
          <w:rFonts w:ascii="Aptos" w:hAnsi="Aptos"/>
        </w:rPr>
        <w:t xml:space="preserve"> 2025 </w:t>
      </w:r>
      <w:r w:rsidR="007D797C" w:rsidRPr="00DD5185">
        <w:rPr>
          <w:rFonts w:ascii="Aptos" w:hAnsi="Aptos"/>
        </w:rPr>
        <w:t>Integrated Resource Plan.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216F4"/>
    <w:multiLevelType w:val="hybridMultilevel"/>
    <w:tmpl w:val="6AB044E8"/>
    <w:lvl w:ilvl="0" w:tplc="DDD26324">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65D0D"/>
    <w:multiLevelType w:val="hybridMultilevel"/>
    <w:tmpl w:val="82B82F1E"/>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803D7"/>
    <w:multiLevelType w:val="multilevel"/>
    <w:tmpl w:val="FA4606D6"/>
    <w:styleLink w:val="Style1"/>
    <w:lvl w:ilvl="0">
      <w:start w:val="1"/>
      <w:numFmt w:val="upperRoman"/>
      <w:lvlText w:val="%1."/>
      <w:lvlJc w:val="left"/>
      <w:pPr>
        <w:ind w:left="1080" w:hanging="720"/>
      </w:pPr>
      <w:rPr>
        <w:rFonts w:hint="default"/>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0867C3"/>
    <w:multiLevelType w:val="hybridMultilevel"/>
    <w:tmpl w:val="FC0E4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277E0B"/>
    <w:multiLevelType w:val="hybridMultilevel"/>
    <w:tmpl w:val="62A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765983"/>
    <w:multiLevelType w:val="hybridMultilevel"/>
    <w:tmpl w:val="0704A7B0"/>
    <w:lvl w:ilvl="0" w:tplc="A464133A">
      <w:start w:val="1"/>
      <w:numFmt w:val="decimal"/>
      <w:pStyle w:val="Heading1"/>
      <w:lvlText w:val="SECTION %1"/>
      <w:lvlJc w:val="left"/>
      <w:pPr>
        <w:ind w:left="360" w:hanging="360"/>
      </w:pPr>
      <w:rPr>
        <w:rFonts w:ascii="Aptos" w:hAnsi="Aptos" w:cs="Arial" w:hint="default"/>
        <w:b/>
        <w:i w:val="0"/>
        <w:caps/>
        <w:color w:val="000000" w:themeColor="text1"/>
        <w:sz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510336136">
    <w:abstractNumId w:val="2"/>
  </w:num>
  <w:num w:numId="2" w16cid:durableId="542326093">
    <w:abstractNumId w:val="4"/>
  </w:num>
  <w:num w:numId="3" w16cid:durableId="34626164">
    <w:abstractNumId w:val="5"/>
  </w:num>
  <w:num w:numId="4" w16cid:durableId="1144930927">
    <w:abstractNumId w:val="1"/>
  </w:num>
  <w:num w:numId="5" w16cid:durableId="1256404845">
    <w:abstractNumId w:val="0"/>
  </w:num>
  <w:num w:numId="6" w16cid:durableId="46605300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7067650"/>
    <w:docVar w:name="MPDocIDTemplate" w:val="%l| %n|v%v| %c|.%m"/>
    <w:docVar w:name="MPDocIDTemplateDefault" w:val="%l| %n|v%v| %c|.%m"/>
    <w:docVar w:name="NewDocStampType" w:val="7"/>
    <w:docVar w:name="zzmpTrailerDateFormat" w:val="0"/>
  </w:docVars>
  <w:rsids>
    <w:rsidRoot w:val="0003394F"/>
    <w:rsid w:val="00000666"/>
    <w:rsid w:val="00002A7D"/>
    <w:rsid w:val="0000307F"/>
    <w:rsid w:val="00003892"/>
    <w:rsid w:val="00004179"/>
    <w:rsid w:val="00004339"/>
    <w:rsid w:val="00005CD1"/>
    <w:rsid w:val="000061AB"/>
    <w:rsid w:val="00011AEB"/>
    <w:rsid w:val="00011BBD"/>
    <w:rsid w:val="00013958"/>
    <w:rsid w:val="0001601C"/>
    <w:rsid w:val="00026C98"/>
    <w:rsid w:val="00030662"/>
    <w:rsid w:val="00031D58"/>
    <w:rsid w:val="00031D61"/>
    <w:rsid w:val="0003261D"/>
    <w:rsid w:val="0003394F"/>
    <w:rsid w:val="00036416"/>
    <w:rsid w:val="000370DF"/>
    <w:rsid w:val="0003734D"/>
    <w:rsid w:val="000379AA"/>
    <w:rsid w:val="00040015"/>
    <w:rsid w:val="000405C1"/>
    <w:rsid w:val="000417AF"/>
    <w:rsid w:val="00041BE2"/>
    <w:rsid w:val="00043EB9"/>
    <w:rsid w:val="00045972"/>
    <w:rsid w:val="00046CE1"/>
    <w:rsid w:val="00047527"/>
    <w:rsid w:val="00047925"/>
    <w:rsid w:val="00050DE1"/>
    <w:rsid w:val="00050F5D"/>
    <w:rsid w:val="000516E4"/>
    <w:rsid w:val="00052A04"/>
    <w:rsid w:val="00053D07"/>
    <w:rsid w:val="00055496"/>
    <w:rsid w:val="00056AA9"/>
    <w:rsid w:val="000607F6"/>
    <w:rsid w:val="00060BA8"/>
    <w:rsid w:val="00061D77"/>
    <w:rsid w:val="00062BA5"/>
    <w:rsid w:val="0006319A"/>
    <w:rsid w:val="000631E1"/>
    <w:rsid w:val="000661E7"/>
    <w:rsid w:val="00067D0A"/>
    <w:rsid w:val="0007118E"/>
    <w:rsid w:val="00071948"/>
    <w:rsid w:val="00072403"/>
    <w:rsid w:val="00076F24"/>
    <w:rsid w:val="00080BFC"/>
    <w:rsid w:val="00081B08"/>
    <w:rsid w:val="0008214B"/>
    <w:rsid w:val="00082F51"/>
    <w:rsid w:val="0008356B"/>
    <w:rsid w:val="00085890"/>
    <w:rsid w:val="00086848"/>
    <w:rsid w:val="00086B62"/>
    <w:rsid w:val="00090275"/>
    <w:rsid w:val="00090700"/>
    <w:rsid w:val="00093816"/>
    <w:rsid w:val="00094E52"/>
    <w:rsid w:val="00096583"/>
    <w:rsid w:val="00096F2E"/>
    <w:rsid w:val="000A000D"/>
    <w:rsid w:val="000A08FE"/>
    <w:rsid w:val="000A0BCB"/>
    <w:rsid w:val="000A1429"/>
    <w:rsid w:val="000A164E"/>
    <w:rsid w:val="000A16DB"/>
    <w:rsid w:val="000A1E96"/>
    <w:rsid w:val="000A22A5"/>
    <w:rsid w:val="000A2311"/>
    <w:rsid w:val="000A36A9"/>
    <w:rsid w:val="000A41E4"/>
    <w:rsid w:val="000A4B84"/>
    <w:rsid w:val="000A5023"/>
    <w:rsid w:val="000A5410"/>
    <w:rsid w:val="000A5B81"/>
    <w:rsid w:val="000A74BB"/>
    <w:rsid w:val="000B0289"/>
    <w:rsid w:val="000B1267"/>
    <w:rsid w:val="000B1311"/>
    <w:rsid w:val="000B37BD"/>
    <w:rsid w:val="000B5AF1"/>
    <w:rsid w:val="000B6155"/>
    <w:rsid w:val="000B689E"/>
    <w:rsid w:val="000C24FA"/>
    <w:rsid w:val="000C43B1"/>
    <w:rsid w:val="000C4977"/>
    <w:rsid w:val="000C6093"/>
    <w:rsid w:val="000C7635"/>
    <w:rsid w:val="000D12EB"/>
    <w:rsid w:val="000D72DF"/>
    <w:rsid w:val="000E0E38"/>
    <w:rsid w:val="000E16B1"/>
    <w:rsid w:val="000E6294"/>
    <w:rsid w:val="000E7D49"/>
    <w:rsid w:val="000F07C4"/>
    <w:rsid w:val="000F20E1"/>
    <w:rsid w:val="000F347C"/>
    <w:rsid w:val="000F6446"/>
    <w:rsid w:val="000F6991"/>
    <w:rsid w:val="000F6F64"/>
    <w:rsid w:val="00101B73"/>
    <w:rsid w:val="001032AD"/>
    <w:rsid w:val="0010361F"/>
    <w:rsid w:val="00103927"/>
    <w:rsid w:val="001064CD"/>
    <w:rsid w:val="001064D8"/>
    <w:rsid w:val="001125EC"/>
    <w:rsid w:val="00115E38"/>
    <w:rsid w:val="00116915"/>
    <w:rsid w:val="00124750"/>
    <w:rsid w:val="00124D19"/>
    <w:rsid w:val="00126D28"/>
    <w:rsid w:val="001270AF"/>
    <w:rsid w:val="0013591F"/>
    <w:rsid w:val="00137F37"/>
    <w:rsid w:val="00140F82"/>
    <w:rsid w:val="00141D5A"/>
    <w:rsid w:val="00142590"/>
    <w:rsid w:val="001444D6"/>
    <w:rsid w:val="00145C82"/>
    <w:rsid w:val="00153496"/>
    <w:rsid w:val="0015541E"/>
    <w:rsid w:val="00155476"/>
    <w:rsid w:val="00156363"/>
    <w:rsid w:val="00156729"/>
    <w:rsid w:val="00157ADF"/>
    <w:rsid w:val="00160CE5"/>
    <w:rsid w:val="00161063"/>
    <w:rsid w:val="00161AB0"/>
    <w:rsid w:val="00162F2B"/>
    <w:rsid w:val="00167D88"/>
    <w:rsid w:val="00170A6E"/>
    <w:rsid w:val="00177347"/>
    <w:rsid w:val="00181D68"/>
    <w:rsid w:val="00181DCC"/>
    <w:rsid w:val="00182315"/>
    <w:rsid w:val="00182403"/>
    <w:rsid w:val="00183557"/>
    <w:rsid w:val="0018425E"/>
    <w:rsid w:val="001843E5"/>
    <w:rsid w:val="00186F94"/>
    <w:rsid w:val="00191765"/>
    <w:rsid w:val="001922CC"/>
    <w:rsid w:val="00192D0C"/>
    <w:rsid w:val="00194969"/>
    <w:rsid w:val="00194ED4"/>
    <w:rsid w:val="0019697D"/>
    <w:rsid w:val="0019777B"/>
    <w:rsid w:val="00197A7F"/>
    <w:rsid w:val="00197B09"/>
    <w:rsid w:val="001A2B78"/>
    <w:rsid w:val="001A2F35"/>
    <w:rsid w:val="001A5809"/>
    <w:rsid w:val="001B084A"/>
    <w:rsid w:val="001B085C"/>
    <w:rsid w:val="001B0FE9"/>
    <w:rsid w:val="001B1CEC"/>
    <w:rsid w:val="001B3199"/>
    <w:rsid w:val="001B3EB0"/>
    <w:rsid w:val="001C15F6"/>
    <w:rsid w:val="001C2543"/>
    <w:rsid w:val="001C331D"/>
    <w:rsid w:val="001C5247"/>
    <w:rsid w:val="001C6CF8"/>
    <w:rsid w:val="001C7F99"/>
    <w:rsid w:val="001D0BBE"/>
    <w:rsid w:val="001D1925"/>
    <w:rsid w:val="001D43D9"/>
    <w:rsid w:val="001D60B3"/>
    <w:rsid w:val="001D639C"/>
    <w:rsid w:val="001D74FE"/>
    <w:rsid w:val="001E000E"/>
    <w:rsid w:val="001E02F8"/>
    <w:rsid w:val="001E0D4B"/>
    <w:rsid w:val="001E191B"/>
    <w:rsid w:val="001E1C0B"/>
    <w:rsid w:val="001E2DCA"/>
    <w:rsid w:val="001E63ED"/>
    <w:rsid w:val="001E6A4B"/>
    <w:rsid w:val="001E7AC1"/>
    <w:rsid w:val="001F1ACF"/>
    <w:rsid w:val="001F5874"/>
    <w:rsid w:val="001F796D"/>
    <w:rsid w:val="001F7D18"/>
    <w:rsid w:val="00200843"/>
    <w:rsid w:val="002008D7"/>
    <w:rsid w:val="002021AD"/>
    <w:rsid w:val="00204264"/>
    <w:rsid w:val="00205516"/>
    <w:rsid w:val="0020568E"/>
    <w:rsid w:val="002057C0"/>
    <w:rsid w:val="00206BDF"/>
    <w:rsid w:val="002125A3"/>
    <w:rsid w:val="002125E1"/>
    <w:rsid w:val="002136A3"/>
    <w:rsid w:val="00215CC7"/>
    <w:rsid w:val="002160D0"/>
    <w:rsid w:val="0021654D"/>
    <w:rsid w:val="002166A4"/>
    <w:rsid w:val="00216F0E"/>
    <w:rsid w:val="002205FD"/>
    <w:rsid w:val="002207C4"/>
    <w:rsid w:val="00220ED4"/>
    <w:rsid w:val="00221069"/>
    <w:rsid w:val="00223A42"/>
    <w:rsid w:val="002241EA"/>
    <w:rsid w:val="00226731"/>
    <w:rsid w:val="002274B7"/>
    <w:rsid w:val="00230851"/>
    <w:rsid w:val="00233C5E"/>
    <w:rsid w:val="0023403C"/>
    <w:rsid w:val="00236EE8"/>
    <w:rsid w:val="002374DB"/>
    <w:rsid w:val="00237AB9"/>
    <w:rsid w:val="00240811"/>
    <w:rsid w:val="00240A6D"/>
    <w:rsid w:val="00243400"/>
    <w:rsid w:val="00244D0E"/>
    <w:rsid w:val="00245213"/>
    <w:rsid w:val="00245BDF"/>
    <w:rsid w:val="0024701B"/>
    <w:rsid w:val="002470D2"/>
    <w:rsid w:val="002479BA"/>
    <w:rsid w:val="002505DA"/>
    <w:rsid w:val="00250845"/>
    <w:rsid w:val="00253FEF"/>
    <w:rsid w:val="002564F3"/>
    <w:rsid w:val="0025668D"/>
    <w:rsid w:val="00256ED3"/>
    <w:rsid w:val="002572ED"/>
    <w:rsid w:val="00257ACA"/>
    <w:rsid w:val="002614F2"/>
    <w:rsid w:val="00263E15"/>
    <w:rsid w:val="002666CC"/>
    <w:rsid w:val="00266864"/>
    <w:rsid w:val="002676A4"/>
    <w:rsid w:val="00271DA2"/>
    <w:rsid w:val="00274B08"/>
    <w:rsid w:val="00275CA6"/>
    <w:rsid w:val="00276BE0"/>
    <w:rsid w:val="002804B9"/>
    <w:rsid w:val="0028321F"/>
    <w:rsid w:val="00284B82"/>
    <w:rsid w:val="00287A35"/>
    <w:rsid w:val="00291648"/>
    <w:rsid w:val="00293986"/>
    <w:rsid w:val="00293F6B"/>
    <w:rsid w:val="002A0332"/>
    <w:rsid w:val="002A071D"/>
    <w:rsid w:val="002A29FC"/>
    <w:rsid w:val="002A3C2B"/>
    <w:rsid w:val="002A4521"/>
    <w:rsid w:val="002A4796"/>
    <w:rsid w:val="002A515A"/>
    <w:rsid w:val="002A57CC"/>
    <w:rsid w:val="002A5E31"/>
    <w:rsid w:val="002B1F6B"/>
    <w:rsid w:val="002B29FB"/>
    <w:rsid w:val="002B2B35"/>
    <w:rsid w:val="002B4389"/>
    <w:rsid w:val="002B584B"/>
    <w:rsid w:val="002B5C6D"/>
    <w:rsid w:val="002B5D6E"/>
    <w:rsid w:val="002C1121"/>
    <w:rsid w:val="002C1BAF"/>
    <w:rsid w:val="002C2E27"/>
    <w:rsid w:val="002C3346"/>
    <w:rsid w:val="002C515E"/>
    <w:rsid w:val="002C6D59"/>
    <w:rsid w:val="002D0B16"/>
    <w:rsid w:val="002D0BC9"/>
    <w:rsid w:val="002D13D8"/>
    <w:rsid w:val="002D4970"/>
    <w:rsid w:val="002E1888"/>
    <w:rsid w:val="002E660C"/>
    <w:rsid w:val="002F042A"/>
    <w:rsid w:val="002F12B3"/>
    <w:rsid w:val="002F30E3"/>
    <w:rsid w:val="002F387C"/>
    <w:rsid w:val="002F5D0D"/>
    <w:rsid w:val="002F61B6"/>
    <w:rsid w:val="002F72FB"/>
    <w:rsid w:val="002F778F"/>
    <w:rsid w:val="003014B9"/>
    <w:rsid w:val="0030337D"/>
    <w:rsid w:val="0030370E"/>
    <w:rsid w:val="0030523D"/>
    <w:rsid w:val="003108D6"/>
    <w:rsid w:val="0031150E"/>
    <w:rsid w:val="00312CF3"/>
    <w:rsid w:val="00313810"/>
    <w:rsid w:val="00313F4A"/>
    <w:rsid w:val="00316406"/>
    <w:rsid w:val="0031749E"/>
    <w:rsid w:val="00317EE9"/>
    <w:rsid w:val="00321665"/>
    <w:rsid w:val="00323A8A"/>
    <w:rsid w:val="0032421C"/>
    <w:rsid w:val="00324766"/>
    <w:rsid w:val="003249BC"/>
    <w:rsid w:val="00327E51"/>
    <w:rsid w:val="00330AA0"/>
    <w:rsid w:val="0033194D"/>
    <w:rsid w:val="00331F3E"/>
    <w:rsid w:val="0033457D"/>
    <w:rsid w:val="0033470D"/>
    <w:rsid w:val="003356B7"/>
    <w:rsid w:val="00335D9A"/>
    <w:rsid w:val="00337B6B"/>
    <w:rsid w:val="003401B6"/>
    <w:rsid w:val="00341A48"/>
    <w:rsid w:val="00342309"/>
    <w:rsid w:val="00343863"/>
    <w:rsid w:val="00343E46"/>
    <w:rsid w:val="0034507B"/>
    <w:rsid w:val="0034515B"/>
    <w:rsid w:val="003458D7"/>
    <w:rsid w:val="003477EA"/>
    <w:rsid w:val="00350C9D"/>
    <w:rsid w:val="00351267"/>
    <w:rsid w:val="00354B0B"/>
    <w:rsid w:val="003559B3"/>
    <w:rsid w:val="00355A95"/>
    <w:rsid w:val="003616BE"/>
    <w:rsid w:val="003617A9"/>
    <w:rsid w:val="00361BDF"/>
    <w:rsid w:val="00363790"/>
    <w:rsid w:val="00366560"/>
    <w:rsid w:val="00370265"/>
    <w:rsid w:val="00371BBF"/>
    <w:rsid w:val="00375A9C"/>
    <w:rsid w:val="0037658A"/>
    <w:rsid w:val="00376B01"/>
    <w:rsid w:val="003770D0"/>
    <w:rsid w:val="00380342"/>
    <w:rsid w:val="00383659"/>
    <w:rsid w:val="003851B1"/>
    <w:rsid w:val="00385A0A"/>
    <w:rsid w:val="00386216"/>
    <w:rsid w:val="00392C03"/>
    <w:rsid w:val="003958FC"/>
    <w:rsid w:val="003964B7"/>
    <w:rsid w:val="003976CD"/>
    <w:rsid w:val="003A0066"/>
    <w:rsid w:val="003A162F"/>
    <w:rsid w:val="003A2A9C"/>
    <w:rsid w:val="003A59BC"/>
    <w:rsid w:val="003A76EE"/>
    <w:rsid w:val="003B0CCA"/>
    <w:rsid w:val="003B68C9"/>
    <w:rsid w:val="003B6A77"/>
    <w:rsid w:val="003C1448"/>
    <w:rsid w:val="003C3DA3"/>
    <w:rsid w:val="003C3F22"/>
    <w:rsid w:val="003C5401"/>
    <w:rsid w:val="003C6468"/>
    <w:rsid w:val="003D0317"/>
    <w:rsid w:val="003D19EA"/>
    <w:rsid w:val="003D1A0B"/>
    <w:rsid w:val="003D23E6"/>
    <w:rsid w:val="003D37C9"/>
    <w:rsid w:val="003D52D7"/>
    <w:rsid w:val="003D5E81"/>
    <w:rsid w:val="003E1FFC"/>
    <w:rsid w:val="003E79A7"/>
    <w:rsid w:val="003F0246"/>
    <w:rsid w:val="003F21BC"/>
    <w:rsid w:val="003F291F"/>
    <w:rsid w:val="003F566D"/>
    <w:rsid w:val="003F77F1"/>
    <w:rsid w:val="0040052D"/>
    <w:rsid w:val="0040127B"/>
    <w:rsid w:val="00404332"/>
    <w:rsid w:val="004045A5"/>
    <w:rsid w:val="00407021"/>
    <w:rsid w:val="00410B75"/>
    <w:rsid w:val="00412F8E"/>
    <w:rsid w:val="0041508B"/>
    <w:rsid w:val="00415864"/>
    <w:rsid w:val="00416715"/>
    <w:rsid w:val="004177CF"/>
    <w:rsid w:val="00417EBC"/>
    <w:rsid w:val="00420017"/>
    <w:rsid w:val="00420319"/>
    <w:rsid w:val="00421207"/>
    <w:rsid w:val="00422FA6"/>
    <w:rsid w:val="00423F40"/>
    <w:rsid w:val="00426861"/>
    <w:rsid w:val="0043048D"/>
    <w:rsid w:val="00431A30"/>
    <w:rsid w:val="00432F3A"/>
    <w:rsid w:val="004339EF"/>
    <w:rsid w:val="0043463A"/>
    <w:rsid w:val="004346EA"/>
    <w:rsid w:val="0043658A"/>
    <w:rsid w:val="00436F1A"/>
    <w:rsid w:val="004370C6"/>
    <w:rsid w:val="004408F7"/>
    <w:rsid w:val="004409B6"/>
    <w:rsid w:val="004410F1"/>
    <w:rsid w:val="0044139C"/>
    <w:rsid w:val="004421FF"/>
    <w:rsid w:val="0044332E"/>
    <w:rsid w:val="004437B0"/>
    <w:rsid w:val="0044416D"/>
    <w:rsid w:val="0044523B"/>
    <w:rsid w:val="00445BDD"/>
    <w:rsid w:val="00446541"/>
    <w:rsid w:val="004527DC"/>
    <w:rsid w:val="0045419D"/>
    <w:rsid w:val="00455159"/>
    <w:rsid w:val="0045603A"/>
    <w:rsid w:val="00457805"/>
    <w:rsid w:val="0046148E"/>
    <w:rsid w:val="00462644"/>
    <w:rsid w:val="00463547"/>
    <w:rsid w:val="004640F4"/>
    <w:rsid w:val="0046491D"/>
    <w:rsid w:val="00467954"/>
    <w:rsid w:val="00472344"/>
    <w:rsid w:val="00472EBF"/>
    <w:rsid w:val="0047379E"/>
    <w:rsid w:val="00473905"/>
    <w:rsid w:val="00473DA9"/>
    <w:rsid w:val="00474802"/>
    <w:rsid w:val="0047485A"/>
    <w:rsid w:val="0047543E"/>
    <w:rsid w:val="004800FC"/>
    <w:rsid w:val="004826F6"/>
    <w:rsid w:val="00486B94"/>
    <w:rsid w:val="00486BD6"/>
    <w:rsid w:val="0048705A"/>
    <w:rsid w:val="004922EC"/>
    <w:rsid w:val="00493DAB"/>
    <w:rsid w:val="00493ED7"/>
    <w:rsid w:val="0049404A"/>
    <w:rsid w:val="004953AD"/>
    <w:rsid w:val="00496604"/>
    <w:rsid w:val="00497373"/>
    <w:rsid w:val="00497F54"/>
    <w:rsid w:val="004A0277"/>
    <w:rsid w:val="004A0322"/>
    <w:rsid w:val="004A0A03"/>
    <w:rsid w:val="004A25F4"/>
    <w:rsid w:val="004A2C74"/>
    <w:rsid w:val="004A2E55"/>
    <w:rsid w:val="004A3B4F"/>
    <w:rsid w:val="004A6F36"/>
    <w:rsid w:val="004A727D"/>
    <w:rsid w:val="004A7C9D"/>
    <w:rsid w:val="004B1B75"/>
    <w:rsid w:val="004B1D37"/>
    <w:rsid w:val="004B2210"/>
    <w:rsid w:val="004B238F"/>
    <w:rsid w:val="004B2D6A"/>
    <w:rsid w:val="004B305D"/>
    <w:rsid w:val="004B412D"/>
    <w:rsid w:val="004B642D"/>
    <w:rsid w:val="004C04BE"/>
    <w:rsid w:val="004C28C1"/>
    <w:rsid w:val="004C2A49"/>
    <w:rsid w:val="004C325A"/>
    <w:rsid w:val="004C4A60"/>
    <w:rsid w:val="004C528B"/>
    <w:rsid w:val="004C5312"/>
    <w:rsid w:val="004C6322"/>
    <w:rsid w:val="004C6F7D"/>
    <w:rsid w:val="004C79E1"/>
    <w:rsid w:val="004C7DF0"/>
    <w:rsid w:val="004D16DA"/>
    <w:rsid w:val="004D1781"/>
    <w:rsid w:val="004D20D8"/>
    <w:rsid w:val="004D2E88"/>
    <w:rsid w:val="004D31A4"/>
    <w:rsid w:val="004D374C"/>
    <w:rsid w:val="004D40A5"/>
    <w:rsid w:val="004D51BD"/>
    <w:rsid w:val="004D5D06"/>
    <w:rsid w:val="004E0463"/>
    <w:rsid w:val="004E0CDE"/>
    <w:rsid w:val="004E0D3D"/>
    <w:rsid w:val="004E2242"/>
    <w:rsid w:val="004E2AE2"/>
    <w:rsid w:val="004E2FE4"/>
    <w:rsid w:val="004E3443"/>
    <w:rsid w:val="004E3844"/>
    <w:rsid w:val="004E4613"/>
    <w:rsid w:val="004E598C"/>
    <w:rsid w:val="004E79D4"/>
    <w:rsid w:val="004E79F1"/>
    <w:rsid w:val="004F2837"/>
    <w:rsid w:val="004F2DB0"/>
    <w:rsid w:val="004F31F6"/>
    <w:rsid w:val="004F37FF"/>
    <w:rsid w:val="004F48E4"/>
    <w:rsid w:val="004F5600"/>
    <w:rsid w:val="004F59E5"/>
    <w:rsid w:val="004F62E2"/>
    <w:rsid w:val="00501959"/>
    <w:rsid w:val="005019F3"/>
    <w:rsid w:val="00503560"/>
    <w:rsid w:val="00503B68"/>
    <w:rsid w:val="00504E0A"/>
    <w:rsid w:val="00505603"/>
    <w:rsid w:val="00505F13"/>
    <w:rsid w:val="00507380"/>
    <w:rsid w:val="00510292"/>
    <w:rsid w:val="0051043D"/>
    <w:rsid w:val="00510BD9"/>
    <w:rsid w:val="00511229"/>
    <w:rsid w:val="0051199C"/>
    <w:rsid w:val="00512BB1"/>
    <w:rsid w:val="0051617E"/>
    <w:rsid w:val="0051721D"/>
    <w:rsid w:val="00521FA3"/>
    <w:rsid w:val="00522368"/>
    <w:rsid w:val="00524578"/>
    <w:rsid w:val="0052670D"/>
    <w:rsid w:val="00526856"/>
    <w:rsid w:val="00530D1E"/>
    <w:rsid w:val="00530FA2"/>
    <w:rsid w:val="00531222"/>
    <w:rsid w:val="0053139B"/>
    <w:rsid w:val="00531B17"/>
    <w:rsid w:val="00532A13"/>
    <w:rsid w:val="00533543"/>
    <w:rsid w:val="00533C7D"/>
    <w:rsid w:val="00534D56"/>
    <w:rsid w:val="00534E21"/>
    <w:rsid w:val="00535BE3"/>
    <w:rsid w:val="005368A3"/>
    <w:rsid w:val="0053711C"/>
    <w:rsid w:val="00537320"/>
    <w:rsid w:val="00537D79"/>
    <w:rsid w:val="00540F8C"/>
    <w:rsid w:val="00541BAC"/>
    <w:rsid w:val="00550143"/>
    <w:rsid w:val="00550FD1"/>
    <w:rsid w:val="00552C55"/>
    <w:rsid w:val="00553B6D"/>
    <w:rsid w:val="00554785"/>
    <w:rsid w:val="00554B81"/>
    <w:rsid w:val="00556D4F"/>
    <w:rsid w:val="00560A36"/>
    <w:rsid w:val="00560CAE"/>
    <w:rsid w:val="00560F31"/>
    <w:rsid w:val="00562537"/>
    <w:rsid w:val="00563677"/>
    <w:rsid w:val="005644CE"/>
    <w:rsid w:val="005651B7"/>
    <w:rsid w:val="00571606"/>
    <w:rsid w:val="005767B6"/>
    <w:rsid w:val="00576BA6"/>
    <w:rsid w:val="00577766"/>
    <w:rsid w:val="00582095"/>
    <w:rsid w:val="00582CCE"/>
    <w:rsid w:val="00584427"/>
    <w:rsid w:val="00584AFE"/>
    <w:rsid w:val="00587E16"/>
    <w:rsid w:val="00590045"/>
    <w:rsid w:val="00590A76"/>
    <w:rsid w:val="005926D3"/>
    <w:rsid w:val="00592941"/>
    <w:rsid w:val="0059615C"/>
    <w:rsid w:val="005970AF"/>
    <w:rsid w:val="005A0F97"/>
    <w:rsid w:val="005A12AA"/>
    <w:rsid w:val="005A1B16"/>
    <w:rsid w:val="005A673D"/>
    <w:rsid w:val="005A6BBB"/>
    <w:rsid w:val="005A71C2"/>
    <w:rsid w:val="005B0A70"/>
    <w:rsid w:val="005B0F64"/>
    <w:rsid w:val="005B24AA"/>
    <w:rsid w:val="005B3D94"/>
    <w:rsid w:val="005B4D2F"/>
    <w:rsid w:val="005B7E51"/>
    <w:rsid w:val="005C194E"/>
    <w:rsid w:val="005C1ADA"/>
    <w:rsid w:val="005C1B1E"/>
    <w:rsid w:val="005C39D5"/>
    <w:rsid w:val="005C4B3C"/>
    <w:rsid w:val="005C7100"/>
    <w:rsid w:val="005D037B"/>
    <w:rsid w:val="005D2FD9"/>
    <w:rsid w:val="005D3C94"/>
    <w:rsid w:val="005D42A8"/>
    <w:rsid w:val="005D569C"/>
    <w:rsid w:val="005D684F"/>
    <w:rsid w:val="005D6C9D"/>
    <w:rsid w:val="005D7009"/>
    <w:rsid w:val="005E0EE9"/>
    <w:rsid w:val="005E1797"/>
    <w:rsid w:val="005E1BB6"/>
    <w:rsid w:val="005E500D"/>
    <w:rsid w:val="005E675C"/>
    <w:rsid w:val="005E68F6"/>
    <w:rsid w:val="005E76F7"/>
    <w:rsid w:val="005E7AA1"/>
    <w:rsid w:val="005F03D6"/>
    <w:rsid w:val="005F0803"/>
    <w:rsid w:val="005F083D"/>
    <w:rsid w:val="005F1268"/>
    <w:rsid w:val="005F18CB"/>
    <w:rsid w:val="005F3C0D"/>
    <w:rsid w:val="005F428B"/>
    <w:rsid w:val="005F4725"/>
    <w:rsid w:val="005F51C7"/>
    <w:rsid w:val="005F7EB5"/>
    <w:rsid w:val="00601F69"/>
    <w:rsid w:val="00602362"/>
    <w:rsid w:val="00603A79"/>
    <w:rsid w:val="00604013"/>
    <w:rsid w:val="00605625"/>
    <w:rsid w:val="0060628E"/>
    <w:rsid w:val="0060721E"/>
    <w:rsid w:val="00607338"/>
    <w:rsid w:val="00610D65"/>
    <w:rsid w:val="00612965"/>
    <w:rsid w:val="006139C1"/>
    <w:rsid w:val="00613CA8"/>
    <w:rsid w:val="00616977"/>
    <w:rsid w:val="0061698D"/>
    <w:rsid w:val="00617971"/>
    <w:rsid w:val="00620D53"/>
    <w:rsid w:val="0062477A"/>
    <w:rsid w:val="00624A4D"/>
    <w:rsid w:val="00624A59"/>
    <w:rsid w:val="00625E86"/>
    <w:rsid w:val="00625F55"/>
    <w:rsid w:val="00626B02"/>
    <w:rsid w:val="006301CA"/>
    <w:rsid w:val="0063199F"/>
    <w:rsid w:val="006321BC"/>
    <w:rsid w:val="00633050"/>
    <w:rsid w:val="00633E1C"/>
    <w:rsid w:val="00637118"/>
    <w:rsid w:val="00640643"/>
    <w:rsid w:val="00640871"/>
    <w:rsid w:val="006411F0"/>
    <w:rsid w:val="00641A1A"/>
    <w:rsid w:val="006425B9"/>
    <w:rsid w:val="00642777"/>
    <w:rsid w:val="00642F40"/>
    <w:rsid w:val="00644BD4"/>
    <w:rsid w:val="00646B33"/>
    <w:rsid w:val="00647EA0"/>
    <w:rsid w:val="00650CD7"/>
    <w:rsid w:val="006527CB"/>
    <w:rsid w:val="006548E9"/>
    <w:rsid w:val="0065504D"/>
    <w:rsid w:val="00655D4F"/>
    <w:rsid w:val="00660D65"/>
    <w:rsid w:val="006621F2"/>
    <w:rsid w:val="00663A9B"/>
    <w:rsid w:val="00663C7C"/>
    <w:rsid w:val="0066487F"/>
    <w:rsid w:val="006658FA"/>
    <w:rsid w:val="006670E8"/>
    <w:rsid w:val="00667AB9"/>
    <w:rsid w:val="0067052D"/>
    <w:rsid w:val="00671A1D"/>
    <w:rsid w:val="00672C73"/>
    <w:rsid w:val="00673998"/>
    <w:rsid w:val="006746D4"/>
    <w:rsid w:val="0067473B"/>
    <w:rsid w:val="006775E7"/>
    <w:rsid w:val="00681F0E"/>
    <w:rsid w:val="006828FF"/>
    <w:rsid w:val="00684D19"/>
    <w:rsid w:val="006856C1"/>
    <w:rsid w:val="00685950"/>
    <w:rsid w:val="00691357"/>
    <w:rsid w:val="0069139F"/>
    <w:rsid w:val="0069290B"/>
    <w:rsid w:val="00692B9D"/>
    <w:rsid w:val="00692FA0"/>
    <w:rsid w:val="00693010"/>
    <w:rsid w:val="00694692"/>
    <w:rsid w:val="0069485D"/>
    <w:rsid w:val="00694A0F"/>
    <w:rsid w:val="00694F19"/>
    <w:rsid w:val="0069533F"/>
    <w:rsid w:val="006961AD"/>
    <w:rsid w:val="006A3AC9"/>
    <w:rsid w:val="006A4058"/>
    <w:rsid w:val="006A4AC0"/>
    <w:rsid w:val="006A5769"/>
    <w:rsid w:val="006A6197"/>
    <w:rsid w:val="006A70DF"/>
    <w:rsid w:val="006B0465"/>
    <w:rsid w:val="006B1F2B"/>
    <w:rsid w:val="006B2FF9"/>
    <w:rsid w:val="006B3F36"/>
    <w:rsid w:val="006B488E"/>
    <w:rsid w:val="006B4906"/>
    <w:rsid w:val="006B4BE1"/>
    <w:rsid w:val="006B64DE"/>
    <w:rsid w:val="006B6631"/>
    <w:rsid w:val="006B6853"/>
    <w:rsid w:val="006C2121"/>
    <w:rsid w:val="006C271C"/>
    <w:rsid w:val="006C2F34"/>
    <w:rsid w:val="006C3708"/>
    <w:rsid w:val="006C39EE"/>
    <w:rsid w:val="006C4624"/>
    <w:rsid w:val="006C4EA5"/>
    <w:rsid w:val="006C5874"/>
    <w:rsid w:val="006C6356"/>
    <w:rsid w:val="006C6495"/>
    <w:rsid w:val="006C6EC4"/>
    <w:rsid w:val="006C7284"/>
    <w:rsid w:val="006D09FB"/>
    <w:rsid w:val="006D1835"/>
    <w:rsid w:val="006D19F0"/>
    <w:rsid w:val="006D2722"/>
    <w:rsid w:val="006D27DF"/>
    <w:rsid w:val="006D2BCA"/>
    <w:rsid w:val="006D32E1"/>
    <w:rsid w:val="006D4950"/>
    <w:rsid w:val="006D5CE7"/>
    <w:rsid w:val="006D6B05"/>
    <w:rsid w:val="006D792A"/>
    <w:rsid w:val="006E13E4"/>
    <w:rsid w:val="006E190A"/>
    <w:rsid w:val="006E41F2"/>
    <w:rsid w:val="006E5C9E"/>
    <w:rsid w:val="006E7FE1"/>
    <w:rsid w:val="006F13DD"/>
    <w:rsid w:val="006F13E5"/>
    <w:rsid w:val="006F2089"/>
    <w:rsid w:val="006F5025"/>
    <w:rsid w:val="006F57A2"/>
    <w:rsid w:val="00701D9D"/>
    <w:rsid w:val="0070268D"/>
    <w:rsid w:val="007029A9"/>
    <w:rsid w:val="00704317"/>
    <w:rsid w:val="0070434F"/>
    <w:rsid w:val="00704638"/>
    <w:rsid w:val="00705014"/>
    <w:rsid w:val="00706462"/>
    <w:rsid w:val="00707045"/>
    <w:rsid w:val="0070764D"/>
    <w:rsid w:val="00710B0B"/>
    <w:rsid w:val="00711969"/>
    <w:rsid w:val="00713C27"/>
    <w:rsid w:val="00717517"/>
    <w:rsid w:val="007205D2"/>
    <w:rsid w:val="00720A49"/>
    <w:rsid w:val="00722778"/>
    <w:rsid w:val="00722883"/>
    <w:rsid w:val="00724EE9"/>
    <w:rsid w:val="00726F45"/>
    <w:rsid w:val="00727324"/>
    <w:rsid w:val="00727F8E"/>
    <w:rsid w:val="007302AB"/>
    <w:rsid w:val="00731E38"/>
    <w:rsid w:val="00732040"/>
    <w:rsid w:val="00734EB7"/>
    <w:rsid w:val="0073736F"/>
    <w:rsid w:val="00744F10"/>
    <w:rsid w:val="00750528"/>
    <w:rsid w:val="00757403"/>
    <w:rsid w:val="00761035"/>
    <w:rsid w:val="0076281D"/>
    <w:rsid w:val="007646D0"/>
    <w:rsid w:val="00764E67"/>
    <w:rsid w:val="007660FB"/>
    <w:rsid w:val="0077004B"/>
    <w:rsid w:val="00772B8F"/>
    <w:rsid w:val="00774E30"/>
    <w:rsid w:val="00774E4C"/>
    <w:rsid w:val="0077502C"/>
    <w:rsid w:val="0077602F"/>
    <w:rsid w:val="00776CE4"/>
    <w:rsid w:val="00776D1E"/>
    <w:rsid w:val="0077706C"/>
    <w:rsid w:val="007774A1"/>
    <w:rsid w:val="00780F00"/>
    <w:rsid w:val="00792DE6"/>
    <w:rsid w:val="00794975"/>
    <w:rsid w:val="007A0408"/>
    <w:rsid w:val="007A4560"/>
    <w:rsid w:val="007B14F8"/>
    <w:rsid w:val="007B3962"/>
    <w:rsid w:val="007B48F3"/>
    <w:rsid w:val="007C16A6"/>
    <w:rsid w:val="007C1B13"/>
    <w:rsid w:val="007C354E"/>
    <w:rsid w:val="007C4B75"/>
    <w:rsid w:val="007C4C28"/>
    <w:rsid w:val="007C6290"/>
    <w:rsid w:val="007D07FF"/>
    <w:rsid w:val="007D0F62"/>
    <w:rsid w:val="007D2F21"/>
    <w:rsid w:val="007D419B"/>
    <w:rsid w:val="007D47CD"/>
    <w:rsid w:val="007D4902"/>
    <w:rsid w:val="007D7465"/>
    <w:rsid w:val="007D797C"/>
    <w:rsid w:val="007E04C2"/>
    <w:rsid w:val="007E08B6"/>
    <w:rsid w:val="007E0D86"/>
    <w:rsid w:val="007E1EA8"/>
    <w:rsid w:val="007E6DBD"/>
    <w:rsid w:val="007E6F84"/>
    <w:rsid w:val="007E7908"/>
    <w:rsid w:val="007F0D70"/>
    <w:rsid w:val="00801042"/>
    <w:rsid w:val="00802B5D"/>
    <w:rsid w:val="00802E46"/>
    <w:rsid w:val="00807AEB"/>
    <w:rsid w:val="00810B23"/>
    <w:rsid w:val="008110D8"/>
    <w:rsid w:val="008112D8"/>
    <w:rsid w:val="00812826"/>
    <w:rsid w:val="00812A91"/>
    <w:rsid w:val="00813039"/>
    <w:rsid w:val="0081395E"/>
    <w:rsid w:val="00813CD2"/>
    <w:rsid w:val="00815151"/>
    <w:rsid w:val="00817CCF"/>
    <w:rsid w:val="008210C2"/>
    <w:rsid w:val="00822AD3"/>
    <w:rsid w:val="00822C06"/>
    <w:rsid w:val="00823397"/>
    <w:rsid w:val="008247EA"/>
    <w:rsid w:val="00824F78"/>
    <w:rsid w:val="008255FD"/>
    <w:rsid w:val="00830352"/>
    <w:rsid w:val="008303D2"/>
    <w:rsid w:val="008307A8"/>
    <w:rsid w:val="008317BA"/>
    <w:rsid w:val="00832E3B"/>
    <w:rsid w:val="00832E3E"/>
    <w:rsid w:val="00833380"/>
    <w:rsid w:val="00834D02"/>
    <w:rsid w:val="00835F6A"/>
    <w:rsid w:val="0083625B"/>
    <w:rsid w:val="00836293"/>
    <w:rsid w:val="0083658C"/>
    <w:rsid w:val="00836E6B"/>
    <w:rsid w:val="00841EFE"/>
    <w:rsid w:val="00843C76"/>
    <w:rsid w:val="00844775"/>
    <w:rsid w:val="008450BF"/>
    <w:rsid w:val="00847E7E"/>
    <w:rsid w:val="0085073F"/>
    <w:rsid w:val="008521A7"/>
    <w:rsid w:val="00852823"/>
    <w:rsid w:val="00853072"/>
    <w:rsid w:val="008534EA"/>
    <w:rsid w:val="00855E8D"/>
    <w:rsid w:val="0085655E"/>
    <w:rsid w:val="008609EE"/>
    <w:rsid w:val="00860ABB"/>
    <w:rsid w:val="00862A85"/>
    <w:rsid w:val="0086501C"/>
    <w:rsid w:val="0086737E"/>
    <w:rsid w:val="00871568"/>
    <w:rsid w:val="00871FB5"/>
    <w:rsid w:val="008720B4"/>
    <w:rsid w:val="00873DAE"/>
    <w:rsid w:val="00874BF1"/>
    <w:rsid w:val="008756F3"/>
    <w:rsid w:val="008765CE"/>
    <w:rsid w:val="008772A8"/>
    <w:rsid w:val="00881B36"/>
    <w:rsid w:val="00881B52"/>
    <w:rsid w:val="0088608F"/>
    <w:rsid w:val="00887BD3"/>
    <w:rsid w:val="00890551"/>
    <w:rsid w:val="0089191E"/>
    <w:rsid w:val="00891DE9"/>
    <w:rsid w:val="00892C8F"/>
    <w:rsid w:val="00893617"/>
    <w:rsid w:val="00894E92"/>
    <w:rsid w:val="00896DB6"/>
    <w:rsid w:val="008A125A"/>
    <w:rsid w:val="008A1A4C"/>
    <w:rsid w:val="008A2577"/>
    <w:rsid w:val="008A2F5F"/>
    <w:rsid w:val="008A37E3"/>
    <w:rsid w:val="008A54A0"/>
    <w:rsid w:val="008A5E15"/>
    <w:rsid w:val="008A5F2C"/>
    <w:rsid w:val="008A7748"/>
    <w:rsid w:val="008A7CB7"/>
    <w:rsid w:val="008B01A8"/>
    <w:rsid w:val="008B3A28"/>
    <w:rsid w:val="008B4FBE"/>
    <w:rsid w:val="008B54C0"/>
    <w:rsid w:val="008B6A9F"/>
    <w:rsid w:val="008B7067"/>
    <w:rsid w:val="008B7FC8"/>
    <w:rsid w:val="008C07DF"/>
    <w:rsid w:val="008C161C"/>
    <w:rsid w:val="008C3083"/>
    <w:rsid w:val="008C313B"/>
    <w:rsid w:val="008C3194"/>
    <w:rsid w:val="008C7B61"/>
    <w:rsid w:val="008D11B9"/>
    <w:rsid w:val="008D18C4"/>
    <w:rsid w:val="008D4775"/>
    <w:rsid w:val="008D5373"/>
    <w:rsid w:val="008D6EC1"/>
    <w:rsid w:val="008E0E6E"/>
    <w:rsid w:val="008E2101"/>
    <w:rsid w:val="008E3EE5"/>
    <w:rsid w:val="008E4284"/>
    <w:rsid w:val="008E5A37"/>
    <w:rsid w:val="008F49DF"/>
    <w:rsid w:val="008F78A7"/>
    <w:rsid w:val="008F7953"/>
    <w:rsid w:val="0090306A"/>
    <w:rsid w:val="00903F74"/>
    <w:rsid w:val="00904436"/>
    <w:rsid w:val="009059B2"/>
    <w:rsid w:val="00906DC3"/>
    <w:rsid w:val="00906E00"/>
    <w:rsid w:val="00907694"/>
    <w:rsid w:val="0091376C"/>
    <w:rsid w:val="00915A6D"/>
    <w:rsid w:val="009165AA"/>
    <w:rsid w:val="009223DE"/>
    <w:rsid w:val="00922B87"/>
    <w:rsid w:val="0092321E"/>
    <w:rsid w:val="009240C6"/>
    <w:rsid w:val="00924B4F"/>
    <w:rsid w:val="00924CE4"/>
    <w:rsid w:val="00930027"/>
    <w:rsid w:val="0093337B"/>
    <w:rsid w:val="0093366F"/>
    <w:rsid w:val="00933CD6"/>
    <w:rsid w:val="00935E4F"/>
    <w:rsid w:val="00936647"/>
    <w:rsid w:val="00936D1B"/>
    <w:rsid w:val="0093730C"/>
    <w:rsid w:val="00940714"/>
    <w:rsid w:val="00942071"/>
    <w:rsid w:val="00942E0C"/>
    <w:rsid w:val="00944093"/>
    <w:rsid w:val="00945B87"/>
    <w:rsid w:val="00945BC6"/>
    <w:rsid w:val="00946BB1"/>
    <w:rsid w:val="0095127A"/>
    <w:rsid w:val="0095247C"/>
    <w:rsid w:val="00953F35"/>
    <w:rsid w:val="00954D1C"/>
    <w:rsid w:val="009554FB"/>
    <w:rsid w:val="009560D6"/>
    <w:rsid w:val="00962238"/>
    <w:rsid w:val="009632FA"/>
    <w:rsid w:val="00964471"/>
    <w:rsid w:val="00965B87"/>
    <w:rsid w:val="00966DB3"/>
    <w:rsid w:val="00973056"/>
    <w:rsid w:val="00976650"/>
    <w:rsid w:val="00980441"/>
    <w:rsid w:val="009817D6"/>
    <w:rsid w:val="00982922"/>
    <w:rsid w:val="00982B96"/>
    <w:rsid w:val="00982BCA"/>
    <w:rsid w:val="00983451"/>
    <w:rsid w:val="0098375F"/>
    <w:rsid w:val="00986216"/>
    <w:rsid w:val="0098714A"/>
    <w:rsid w:val="00987E19"/>
    <w:rsid w:val="00990FB5"/>
    <w:rsid w:val="00992043"/>
    <w:rsid w:val="00993364"/>
    <w:rsid w:val="009933B1"/>
    <w:rsid w:val="00994BCC"/>
    <w:rsid w:val="00995B91"/>
    <w:rsid w:val="00997B51"/>
    <w:rsid w:val="00997C60"/>
    <w:rsid w:val="009A242D"/>
    <w:rsid w:val="009A36EB"/>
    <w:rsid w:val="009A5B13"/>
    <w:rsid w:val="009A6FDE"/>
    <w:rsid w:val="009A7C42"/>
    <w:rsid w:val="009B03D0"/>
    <w:rsid w:val="009B2F7D"/>
    <w:rsid w:val="009B3C4B"/>
    <w:rsid w:val="009B3E59"/>
    <w:rsid w:val="009B532A"/>
    <w:rsid w:val="009B5EF8"/>
    <w:rsid w:val="009B6BE5"/>
    <w:rsid w:val="009B769D"/>
    <w:rsid w:val="009B7BDB"/>
    <w:rsid w:val="009C0800"/>
    <w:rsid w:val="009C14AD"/>
    <w:rsid w:val="009C34BA"/>
    <w:rsid w:val="009C4F46"/>
    <w:rsid w:val="009C52E1"/>
    <w:rsid w:val="009C7281"/>
    <w:rsid w:val="009D18E1"/>
    <w:rsid w:val="009E235C"/>
    <w:rsid w:val="009E27B8"/>
    <w:rsid w:val="009E4383"/>
    <w:rsid w:val="009F16E7"/>
    <w:rsid w:val="009F2AC0"/>
    <w:rsid w:val="009F38FA"/>
    <w:rsid w:val="009F511D"/>
    <w:rsid w:val="009F547A"/>
    <w:rsid w:val="009F57C3"/>
    <w:rsid w:val="009F5929"/>
    <w:rsid w:val="009F6889"/>
    <w:rsid w:val="009F6EBB"/>
    <w:rsid w:val="009F76CC"/>
    <w:rsid w:val="00A00A20"/>
    <w:rsid w:val="00A03010"/>
    <w:rsid w:val="00A03397"/>
    <w:rsid w:val="00A0519C"/>
    <w:rsid w:val="00A063BF"/>
    <w:rsid w:val="00A079EF"/>
    <w:rsid w:val="00A115D5"/>
    <w:rsid w:val="00A12A26"/>
    <w:rsid w:val="00A17232"/>
    <w:rsid w:val="00A25C09"/>
    <w:rsid w:val="00A25C95"/>
    <w:rsid w:val="00A33103"/>
    <w:rsid w:val="00A334C2"/>
    <w:rsid w:val="00A343B7"/>
    <w:rsid w:val="00A34ECD"/>
    <w:rsid w:val="00A35C2B"/>
    <w:rsid w:val="00A37742"/>
    <w:rsid w:val="00A46222"/>
    <w:rsid w:val="00A46C01"/>
    <w:rsid w:val="00A504A2"/>
    <w:rsid w:val="00A51D76"/>
    <w:rsid w:val="00A526D6"/>
    <w:rsid w:val="00A52890"/>
    <w:rsid w:val="00A53730"/>
    <w:rsid w:val="00A53C0E"/>
    <w:rsid w:val="00A55CEF"/>
    <w:rsid w:val="00A57C2A"/>
    <w:rsid w:val="00A6207E"/>
    <w:rsid w:val="00A630AB"/>
    <w:rsid w:val="00A63AD8"/>
    <w:rsid w:val="00A64C04"/>
    <w:rsid w:val="00A70955"/>
    <w:rsid w:val="00A70B73"/>
    <w:rsid w:val="00A743A0"/>
    <w:rsid w:val="00A76945"/>
    <w:rsid w:val="00A81CDA"/>
    <w:rsid w:val="00A82061"/>
    <w:rsid w:val="00A82245"/>
    <w:rsid w:val="00A8335A"/>
    <w:rsid w:val="00A84D86"/>
    <w:rsid w:val="00A86244"/>
    <w:rsid w:val="00A865FF"/>
    <w:rsid w:val="00A9026A"/>
    <w:rsid w:val="00A90773"/>
    <w:rsid w:val="00A913CE"/>
    <w:rsid w:val="00A915C2"/>
    <w:rsid w:val="00A93B0B"/>
    <w:rsid w:val="00AA182A"/>
    <w:rsid w:val="00AA319F"/>
    <w:rsid w:val="00AA390D"/>
    <w:rsid w:val="00AA3E56"/>
    <w:rsid w:val="00AA69F6"/>
    <w:rsid w:val="00AA7A43"/>
    <w:rsid w:val="00AA7B20"/>
    <w:rsid w:val="00AB09C6"/>
    <w:rsid w:val="00AB1DC1"/>
    <w:rsid w:val="00AB4C05"/>
    <w:rsid w:val="00AC00FF"/>
    <w:rsid w:val="00AC144D"/>
    <w:rsid w:val="00AC19D2"/>
    <w:rsid w:val="00AC3212"/>
    <w:rsid w:val="00AD0403"/>
    <w:rsid w:val="00AD0DA8"/>
    <w:rsid w:val="00AD1B3F"/>
    <w:rsid w:val="00AD34E9"/>
    <w:rsid w:val="00AD3C2E"/>
    <w:rsid w:val="00AD405C"/>
    <w:rsid w:val="00AD42E6"/>
    <w:rsid w:val="00AD5F98"/>
    <w:rsid w:val="00AD664F"/>
    <w:rsid w:val="00AE1649"/>
    <w:rsid w:val="00AE3967"/>
    <w:rsid w:val="00AE4CCC"/>
    <w:rsid w:val="00AE5A40"/>
    <w:rsid w:val="00AE5D6A"/>
    <w:rsid w:val="00AE6601"/>
    <w:rsid w:val="00AE70E1"/>
    <w:rsid w:val="00AE7218"/>
    <w:rsid w:val="00AE7572"/>
    <w:rsid w:val="00AE79DB"/>
    <w:rsid w:val="00AF0C32"/>
    <w:rsid w:val="00AF1459"/>
    <w:rsid w:val="00AF197D"/>
    <w:rsid w:val="00AF256C"/>
    <w:rsid w:val="00AF39B9"/>
    <w:rsid w:val="00AF3D67"/>
    <w:rsid w:val="00AF3DCB"/>
    <w:rsid w:val="00AF42DB"/>
    <w:rsid w:val="00AF47B9"/>
    <w:rsid w:val="00AF6369"/>
    <w:rsid w:val="00B00F5C"/>
    <w:rsid w:val="00B03CA6"/>
    <w:rsid w:val="00B04D8F"/>
    <w:rsid w:val="00B0632A"/>
    <w:rsid w:val="00B13171"/>
    <w:rsid w:val="00B1332B"/>
    <w:rsid w:val="00B13E89"/>
    <w:rsid w:val="00B14E90"/>
    <w:rsid w:val="00B15BAA"/>
    <w:rsid w:val="00B20C7C"/>
    <w:rsid w:val="00B27CFA"/>
    <w:rsid w:val="00B301F5"/>
    <w:rsid w:val="00B308A6"/>
    <w:rsid w:val="00B31A46"/>
    <w:rsid w:val="00B31D31"/>
    <w:rsid w:val="00B32833"/>
    <w:rsid w:val="00B33D98"/>
    <w:rsid w:val="00B358BC"/>
    <w:rsid w:val="00B35B15"/>
    <w:rsid w:val="00B36FE7"/>
    <w:rsid w:val="00B3792E"/>
    <w:rsid w:val="00B379D4"/>
    <w:rsid w:val="00B409CE"/>
    <w:rsid w:val="00B429E2"/>
    <w:rsid w:val="00B43AB5"/>
    <w:rsid w:val="00B4609B"/>
    <w:rsid w:val="00B47B86"/>
    <w:rsid w:val="00B51A58"/>
    <w:rsid w:val="00B53C4E"/>
    <w:rsid w:val="00B548B1"/>
    <w:rsid w:val="00B564A2"/>
    <w:rsid w:val="00B57FAB"/>
    <w:rsid w:val="00B6461F"/>
    <w:rsid w:val="00B648BF"/>
    <w:rsid w:val="00B64BBA"/>
    <w:rsid w:val="00B653DB"/>
    <w:rsid w:val="00B66FAE"/>
    <w:rsid w:val="00B67220"/>
    <w:rsid w:val="00B679DA"/>
    <w:rsid w:val="00B70CFD"/>
    <w:rsid w:val="00B70D25"/>
    <w:rsid w:val="00B750E3"/>
    <w:rsid w:val="00B75A51"/>
    <w:rsid w:val="00B77583"/>
    <w:rsid w:val="00B80212"/>
    <w:rsid w:val="00B8054B"/>
    <w:rsid w:val="00B82DEF"/>
    <w:rsid w:val="00B8655F"/>
    <w:rsid w:val="00B870F1"/>
    <w:rsid w:val="00B90DE3"/>
    <w:rsid w:val="00B93762"/>
    <w:rsid w:val="00B964A4"/>
    <w:rsid w:val="00B965EB"/>
    <w:rsid w:val="00B97472"/>
    <w:rsid w:val="00BA08DD"/>
    <w:rsid w:val="00BA1189"/>
    <w:rsid w:val="00BA188D"/>
    <w:rsid w:val="00BA2B60"/>
    <w:rsid w:val="00BA42EC"/>
    <w:rsid w:val="00BA65BB"/>
    <w:rsid w:val="00BA7444"/>
    <w:rsid w:val="00BA7489"/>
    <w:rsid w:val="00BB0856"/>
    <w:rsid w:val="00BB0E86"/>
    <w:rsid w:val="00BB25F2"/>
    <w:rsid w:val="00BB38F2"/>
    <w:rsid w:val="00BB425A"/>
    <w:rsid w:val="00BB67BF"/>
    <w:rsid w:val="00BB6808"/>
    <w:rsid w:val="00BB73E3"/>
    <w:rsid w:val="00BC0483"/>
    <w:rsid w:val="00BC3014"/>
    <w:rsid w:val="00BC34FC"/>
    <w:rsid w:val="00BC5853"/>
    <w:rsid w:val="00BC5A37"/>
    <w:rsid w:val="00BC6928"/>
    <w:rsid w:val="00BC7855"/>
    <w:rsid w:val="00BD3061"/>
    <w:rsid w:val="00BD3884"/>
    <w:rsid w:val="00BD496E"/>
    <w:rsid w:val="00BD6628"/>
    <w:rsid w:val="00BD6A03"/>
    <w:rsid w:val="00BE01DF"/>
    <w:rsid w:val="00BE0C7E"/>
    <w:rsid w:val="00BE1127"/>
    <w:rsid w:val="00BE17AA"/>
    <w:rsid w:val="00BE275F"/>
    <w:rsid w:val="00BE2776"/>
    <w:rsid w:val="00BE3655"/>
    <w:rsid w:val="00BE4B3F"/>
    <w:rsid w:val="00BE5E72"/>
    <w:rsid w:val="00BF0231"/>
    <w:rsid w:val="00BF0A84"/>
    <w:rsid w:val="00BF242B"/>
    <w:rsid w:val="00BF3D7E"/>
    <w:rsid w:val="00BF42D7"/>
    <w:rsid w:val="00BF4777"/>
    <w:rsid w:val="00BF5E32"/>
    <w:rsid w:val="00C003DB"/>
    <w:rsid w:val="00C01494"/>
    <w:rsid w:val="00C015E2"/>
    <w:rsid w:val="00C02A89"/>
    <w:rsid w:val="00C03928"/>
    <w:rsid w:val="00C040C4"/>
    <w:rsid w:val="00C05F42"/>
    <w:rsid w:val="00C05F83"/>
    <w:rsid w:val="00C073F4"/>
    <w:rsid w:val="00C0795C"/>
    <w:rsid w:val="00C07DC2"/>
    <w:rsid w:val="00C11639"/>
    <w:rsid w:val="00C12677"/>
    <w:rsid w:val="00C14CD4"/>
    <w:rsid w:val="00C167FF"/>
    <w:rsid w:val="00C16928"/>
    <w:rsid w:val="00C174CA"/>
    <w:rsid w:val="00C178EF"/>
    <w:rsid w:val="00C20C6B"/>
    <w:rsid w:val="00C2125B"/>
    <w:rsid w:val="00C224D2"/>
    <w:rsid w:val="00C231B7"/>
    <w:rsid w:val="00C23D0F"/>
    <w:rsid w:val="00C23F65"/>
    <w:rsid w:val="00C2403A"/>
    <w:rsid w:val="00C24C25"/>
    <w:rsid w:val="00C2565A"/>
    <w:rsid w:val="00C26502"/>
    <w:rsid w:val="00C300C5"/>
    <w:rsid w:val="00C30B31"/>
    <w:rsid w:val="00C32D84"/>
    <w:rsid w:val="00C33322"/>
    <w:rsid w:val="00C3384A"/>
    <w:rsid w:val="00C33B2F"/>
    <w:rsid w:val="00C34BB7"/>
    <w:rsid w:val="00C403EB"/>
    <w:rsid w:val="00C40745"/>
    <w:rsid w:val="00C415E2"/>
    <w:rsid w:val="00C4368B"/>
    <w:rsid w:val="00C44D53"/>
    <w:rsid w:val="00C44E09"/>
    <w:rsid w:val="00C46C20"/>
    <w:rsid w:val="00C47096"/>
    <w:rsid w:val="00C5061E"/>
    <w:rsid w:val="00C512A6"/>
    <w:rsid w:val="00C523FA"/>
    <w:rsid w:val="00C53BE8"/>
    <w:rsid w:val="00C54685"/>
    <w:rsid w:val="00C552F5"/>
    <w:rsid w:val="00C55C54"/>
    <w:rsid w:val="00C56919"/>
    <w:rsid w:val="00C573C2"/>
    <w:rsid w:val="00C5741F"/>
    <w:rsid w:val="00C605BE"/>
    <w:rsid w:val="00C63BDA"/>
    <w:rsid w:val="00C64103"/>
    <w:rsid w:val="00C670ED"/>
    <w:rsid w:val="00C67307"/>
    <w:rsid w:val="00C703E5"/>
    <w:rsid w:val="00C7049C"/>
    <w:rsid w:val="00C73D88"/>
    <w:rsid w:val="00C756F0"/>
    <w:rsid w:val="00C7713C"/>
    <w:rsid w:val="00C77590"/>
    <w:rsid w:val="00C80051"/>
    <w:rsid w:val="00C829A9"/>
    <w:rsid w:val="00C90721"/>
    <w:rsid w:val="00C91058"/>
    <w:rsid w:val="00C93106"/>
    <w:rsid w:val="00C958D3"/>
    <w:rsid w:val="00CA1C58"/>
    <w:rsid w:val="00CA21C0"/>
    <w:rsid w:val="00CA38C3"/>
    <w:rsid w:val="00CA55F6"/>
    <w:rsid w:val="00CA6735"/>
    <w:rsid w:val="00CA67B2"/>
    <w:rsid w:val="00CA79B9"/>
    <w:rsid w:val="00CB214E"/>
    <w:rsid w:val="00CB599E"/>
    <w:rsid w:val="00CB5A1F"/>
    <w:rsid w:val="00CB5EEB"/>
    <w:rsid w:val="00CB65FD"/>
    <w:rsid w:val="00CB6CF6"/>
    <w:rsid w:val="00CB6E37"/>
    <w:rsid w:val="00CC50F0"/>
    <w:rsid w:val="00CC5C29"/>
    <w:rsid w:val="00CC7374"/>
    <w:rsid w:val="00CD1179"/>
    <w:rsid w:val="00CD328E"/>
    <w:rsid w:val="00CD3DD1"/>
    <w:rsid w:val="00CD57A5"/>
    <w:rsid w:val="00CD5B97"/>
    <w:rsid w:val="00CD611B"/>
    <w:rsid w:val="00CE33FA"/>
    <w:rsid w:val="00CE35B2"/>
    <w:rsid w:val="00CE3EB0"/>
    <w:rsid w:val="00CE471E"/>
    <w:rsid w:val="00CE4C81"/>
    <w:rsid w:val="00CF1739"/>
    <w:rsid w:val="00CF3B04"/>
    <w:rsid w:val="00CF43AC"/>
    <w:rsid w:val="00CF6441"/>
    <w:rsid w:val="00CF6F7C"/>
    <w:rsid w:val="00D02A59"/>
    <w:rsid w:val="00D04193"/>
    <w:rsid w:val="00D04B41"/>
    <w:rsid w:val="00D04DFD"/>
    <w:rsid w:val="00D054F8"/>
    <w:rsid w:val="00D065A8"/>
    <w:rsid w:val="00D1193D"/>
    <w:rsid w:val="00D1269F"/>
    <w:rsid w:val="00D1279B"/>
    <w:rsid w:val="00D12C0B"/>
    <w:rsid w:val="00D13B29"/>
    <w:rsid w:val="00D2108A"/>
    <w:rsid w:val="00D210E2"/>
    <w:rsid w:val="00D22BEF"/>
    <w:rsid w:val="00D240AB"/>
    <w:rsid w:val="00D24C62"/>
    <w:rsid w:val="00D252D1"/>
    <w:rsid w:val="00D27333"/>
    <w:rsid w:val="00D27496"/>
    <w:rsid w:val="00D31D1B"/>
    <w:rsid w:val="00D31E2A"/>
    <w:rsid w:val="00D32823"/>
    <w:rsid w:val="00D32AFC"/>
    <w:rsid w:val="00D33715"/>
    <w:rsid w:val="00D34261"/>
    <w:rsid w:val="00D34A72"/>
    <w:rsid w:val="00D367C5"/>
    <w:rsid w:val="00D37152"/>
    <w:rsid w:val="00D40008"/>
    <w:rsid w:val="00D40D2E"/>
    <w:rsid w:val="00D40E76"/>
    <w:rsid w:val="00D430CD"/>
    <w:rsid w:val="00D43A04"/>
    <w:rsid w:val="00D44B2D"/>
    <w:rsid w:val="00D4595A"/>
    <w:rsid w:val="00D45D4E"/>
    <w:rsid w:val="00D47D25"/>
    <w:rsid w:val="00D52784"/>
    <w:rsid w:val="00D5289D"/>
    <w:rsid w:val="00D53BC9"/>
    <w:rsid w:val="00D56265"/>
    <w:rsid w:val="00D6147A"/>
    <w:rsid w:val="00D639EC"/>
    <w:rsid w:val="00D65074"/>
    <w:rsid w:val="00D66233"/>
    <w:rsid w:val="00D66656"/>
    <w:rsid w:val="00D66C83"/>
    <w:rsid w:val="00D66D9D"/>
    <w:rsid w:val="00D7040B"/>
    <w:rsid w:val="00D7086F"/>
    <w:rsid w:val="00D708D7"/>
    <w:rsid w:val="00D7159B"/>
    <w:rsid w:val="00D7336E"/>
    <w:rsid w:val="00D74D36"/>
    <w:rsid w:val="00D74D53"/>
    <w:rsid w:val="00D74F2D"/>
    <w:rsid w:val="00D74FE4"/>
    <w:rsid w:val="00D75C70"/>
    <w:rsid w:val="00D77272"/>
    <w:rsid w:val="00D803A8"/>
    <w:rsid w:val="00D80E83"/>
    <w:rsid w:val="00D82EA5"/>
    <w:rsid w:val="00D83123"/>
    <w:rsid w:val="00D832C9"/>
    <w:rsid w:val="00D84229"/>
    <w:rsid w:val="00D84412"/>
    <w:rsid w:val="00D904D4"/>
    <w:rsid w:val="00D930A8"/>
    <w:rsid w:val="00D93968"/>
    <w:rsid w:val="00D93D4A"/>
    <w:rsid w:val="00D93F9E"/>
    <w:rsid w:val="00D948C7"/>
    <w:rsid w:val="00D95BFB"/>
    <w:rsid w:val="00D970C7"/>
    <w:rsid w:val="00D97D8A"/>
    <w:rsid w:val="00DA41C9"/>
    <w:rsid w:val="00DA6B7B"/>
    <w:rsid w:val="00DB06D4"/>
    <w:rsid w:val="00DB0CD2"/>
    <w:rsid w:val="00DB264D"/>
    <w:rsid w:val="00DB31F2"/>
    <w:rsid w:val="00DB449B"/>
    <w:rsid w:val="00DB47DC"/>
    <w:rsid w:val="00DB6E85"/>
    <w:rsid w:val="00DB73D7"/>
    <w:rsid w:val="00DB7D7E"/>
    <w:rsid w:val="00DC0D09"/>
    <w:rsid w:val="00DC1645"/>
    <w:rsid w:val="00DC18ED"/>
    <w:rsid w:val="00DC1CEC"/>
    <w:rsid w:val="00DC291A"/>
    <w:rsid w:val="00DC41B1"/>
    <w:rsid w:val="00DC520F"/>
    <w:rsid w:val="00DC76BC"/>
    <w:rsid w:val="00DC797A"/>
    <w:rsid w:val="00DD1C38"/>
    <w:rsid w:val="00DD21D7"/>
    <w:rsid w:val="00DD3DB8"/>
    <w:rsid w:val="00DD5185"/>
    <w:rsid w:val="00DD6579"/>
    <w:rsid w:val="00DD7F52"/>
    <w:rsid w:val="00DE0FE9"/>
    <w:rsid w:val="00DE1964"/>
    <w:rsid w:val="00DE1A34"/>
    <w:rsid w:val="00DE424E"/>
    <w:rsid w:val="00DE50F8"/>
    <w:rsid w:val="00DE62FC"/>
    <w:rsid w:val="00DE66DB"/>
    <w:rsid w:val="00DE6D0B"/>
    <w:rsid w:val="00DE7329"/>
    <w:rsid w:val="00DE73AD"/>
    <w:rsid w:val="00DF1508"/>
    <w:rsid w:val="00DF2815"/>
    <w:rsid w:val="00DF37A7"/>
    <w:rsid w:val="00DF3FFD"/>
    <w:rsid w:val="00DF4430"/>
    <w:rsid w:val="00DF4666"/>
    <w:rsid w:val="00DF4ECA"/>
    <w:rsid w:val="00DF5510"/>
    <w:rsid w:val="00DF55CE"/>
    <w:rsid w:val="00DF5CC3"/>
    <w:rsid w:val="00DF7B7B"/>
    <w:rsid w:val="00E0281B"/>
    <w:rsid w:val="00E03B91"/>
    <w:rsid w:val="00E05659"/>
    <w:rsid w:val="00E05FE7"/>
    <w:rsid w:val="00E124D2"/>
    <w:rsid w:val="00E12E78"/>
    <w:rsid w:val="00E13377"/>
    <w:rsid w:val="00E14C3B"/>
    <w:rsid w:val="00E1725C"/>
    <w:rsid w:val="00E2071D"/>
    <w:rsid w:val="00E208DA"/>
    <w:rsid w:val="00E20E0E"/>
    <w:rsid w:val="00E21DF1"/>
    <w:rsid w:val="00E22445"/>
    <w:rsid w:val="00E26717"/>
    <w:rsid w:val="00E3032C"/>
    <w:rsid w:val="00E30E02"/>
    <w:rsid w:val="00E31584"/>
    <w:rsid w:val="00E327EA"/>
    <w:rsid w:val="00E32C4F"/>
    <w:rsid w:val="00E3372D"/>
    <w:rsid w:val="00E34F14"/>
    <w:rsid w:val="00E35888"/>
    <w:rsid w:val="00E3780F"/>
    <w:rsid w:val="00E40E1A"/>
    <w:rsid w:val="00E41C0B"/>
    <w:rsid w:val="00E4285A"/>
    <w:rsid w:val="00E42ECD"/>
    <w:rsid w:val="00E43ABF"/>
    <w:rsid w:val="00E444CD"/>
    <w:rsid w:val="00E45291"/>
    <w:rsid w:val="00E46A8B"/>
    <w:rsid w:val="00E4735E"/>
    <w:rsid w:val="00E47F58"/>
    <w:rsid w:val="00E5107B"/>
    <w:rsid w:val="00E52A17"/>
    <w:rsid w:val="00E5381C"/>
    <w:rsid w:val="00E54A57"/>
    <w:rsid w:val="00E5612D"/>
    <w:rsid w:val="00E5655C"/>
    <w:rsid w:val="00E56C0C"/>
    <w:rsid w:val="00E603D5"/>
    <w:rsid w:val="00E605A7"/>
    <w:rsid w:val="00E60C4B"/>
    <w:rsid w:val="00E6112F"/>
    <w:rsid w:val="00E621A1"/>
    <w:rsid w:val="00E64F9A"/>
    <w:rsid w:val="00E7013F"/>
    <w:rsid w:val="00E7192B"/>
    <w:rsid w:val="00E71A0A"/>
    <w:rsid w:val="00E73271"/>
    <w:rsid w:val="00E759A4"/>
    <w:rsid w:val="00E77A86"/>
    <w:rsid w:val="00E80296"/>
    <w:rsid w:val="00E81687"/>
    <w:rsid w:val="00E818D2"/>
    <w:rsid w:val="00E8268A"/>
    <w:rsid w:val="00E82716"/>
    <w:rsid w:val="00E82755"/>
    <w:rsid w:val="00E83922"/>
    <w:rsid w:val="00E85B1D"/>
    <w:rsid w:val="00E8717D"/>
    <w:rsid w:val="00E87AB7"/>
    <w:rsid w:val="00E90372"/>
    <w:rsid w:val="00E91C14"/>
    <w:rsid w:val="00E92206"/>
    <w:rsid w:val="00E92999"/>
    <w:rsid w:val="00E92A2F"/>
    <w:rsid w:val="00E93389"/>
    <w:rsid w:val="00E94895"/>
    <w:rsid w:val="00E9503B"/>
    <w:rsid w:val="00E96527"/>
    <w:rsid w:val="00E96D5A"/>
    <w:rsid w:val="00EA03B2"/>
    <w:rsid w:val="00EA168B"/>
    <w:rsid w:val="00EA241E"/>
    <w:rsid w:val="00EA26F7"/>
    <w:rsid w:val="00EA3536"/>
    <w:rsid w:val="00EA499B"/>
    <w:rsid w:val="00EA49FD"/>
    <w:rsid w:val="00EA4EFA"/>
    <w:rsid w:val="00EA5066"/>
    <w:rsid w:val="00EA6A57"/>
    <w:rsid w:val="00EA7E53"/>
    <w:rsid w:val="00EB178B"/>
    <w:rsid w:val="00EB5D3D"/>
    <w:rsid w:val="00EB6781"/>
    <w:rsid w:val="00EB6A86"/>
    <w:rsid w:val="00EB74D6"/>
    <w:rsid w:val="00EC1121"/>
    <w:rsid w:val="00EC1383"/>
    <w:rsid w:val="00EC1E49"/>
    <w:rsid w:val="00EC3A86"/>
    <w:rsid w:val="00EC3DC8"/>
    <w:rsid w:val="00EC43E1"/>
    <w:rsid w:val="00EC68D3"/>
    <w:rsid w:val="00EC6CED"/>
    <w:rsid w:val="00EC78AC"/>
    <w:rsid w:val="00ED0E1F"/>
    <w:rsid w:val="00ED19CB"/>
    <w:rsid w:val="00ED65E9"/>
    <w:rsid w:val="00ED6D43"/>
    <w:rsid w:val="00ED7D1D"/>
    <w:rsid w:val="00ED7F28"/>
    <w:rsid w:val="00EE1892"/>
    <w:rsid w:val="00EE1A36"/>
    <w:rsid w:val="00EE1EC9"/>
    <w:rsid w:val="00EE3082"/>
    <w:rsid w:val="00EE48D6"/>
    <w:rsid w:val="00EE4F20"/>
    <w:rsid w:val="00EE593F"/>
    <w:rsid w:val="00EE6E21"/>
    <w:rsid w:val="00EE76E6"/>
    <w:rsid w:val="00EF0387"/>
    <w:rsid w:val="00EF12B1"/>
    <w:rsid w:val="00EF1816"/>
    <w:rsid w:val="00EF69C4"/>
    <w:rsid w:val="00EF7341"/>
    <w:rsid w:val="00F011A6"/>
    <w:rsid w:val="00F05141"/>
    <w:rsid w:val="00F0585A"/>
    <w:rsid w:val="00F06F4A"/>
    <w:rsid w:val="00F106A4"/>
    <w:rsid w:val="00F1096A"/>
    <w:rsid w:val="00F115F1"/>
    <w:rsid w:val="00F11836"/>
    <w:rsid w:val="00F1223C"/>
    <w:rsid w:val="00F123CB"/>
    <w:rsid w:val="00F12955"/>
    <w:rsid w:val="00F14433"/>
    <w:rsid w:val="00F15244"/>
    <w:rsid w:val="00F15A44"/>
    <w:rsid w:val="00F16B46"/>
    <w:rsid w:val="00F176D7"/>
    <w:rsid w:val="00F213FC"/>
    <w:rsid w:val="00F22563"/>
    <w:rsid w:val="00F226C4"/>
    <w:rsid w:val="00F240ED"/>
    <w:rsid w:val="00F243B4"/>
    <w:rsid w:val="00F248C2"/>
    <w:rsid w:val="00F260C2"/>
    <w:rsid w:val="00F26349"/>
    <w:rsid w:val="00F27657"/>
    <w:rsid w:val="00F30676"/>
    <w:rsid w:val="00F31FB6"/>
    <w:rsid w:val="00F33106"/>
    <w:rsid w:val="00F3622B"/>
    <w:rsid w:val="00F37962"/>
    <w:rsid w:val="00F4039D"/>
    <w:rsid w:val="00F40696"/>
    <w:rsid w:val="00F4232D"/>
    <w:rsid w:val="00F444C4"/>
    <w:rsid w:val="00F464C2"/>
    <w:rsid w:val="00F46D35"/>
    <w:rsid w:val="00F474C5"/>
    <w:rsid w:val="00F51A14"/>
    <w:rsid w:val="00F527B3"/>
    <w:rsid w:val="00F54903"/>
    <w:rsid w:val="00F54E8B"/>
    <w:rsid w:val="00F61051"/>
    <w:rsid w:val="00F62042"/>
    <w:rsid w:val="00F62B09"/>
    <w:rsid w:val="00F647D5"/>
    <w:rsid w:val="00F655D6"/>
    <w:rsid w:val="00F66FB9"/>
    <w:rsid w:val="00F67E69"/>
    <w:rsid w:val="00F70C9A"/>
    <w:rsid w:val="00F722C4"/>
    <w:rsid w:val="00F72829"/>
    <w:rsid w:val="00F72BE0"/>
    <w:rsid w:val="00F73507"/>
    <w:rsid w:val="00F74B73"/>
    <w:rsid w:val="00F7637C"/>
    <w:rsid w:val="00F76788"/>
    <w:rsid w:val="00F76FD5"/>
    <w:rsid w:val="00F773D2"/>
    <w:rsid w:val="00F807E1"/>
    <w:rsid w:val="00F82AC6"/>
    <w:rsid w:val="00F82CD5"/>
    <w:rsid w:val="00F85ABE"/>
    <w:rsid w:val="00F86228"/>
    <w:rsid w:val="00F86A65"/>
    <w:rsid w:val="00F87A5D"/>
    <w:rsid w:val="00F90CA1"/>
    <w:rsid w:val="00F917C5"/>
    <w:rsid w:val="00F923D3"/>
    <w:rsid w:val="00F95151"/>
    <w:rsid w:val="00F96B38"/>
    <w:rsid w:val="00F97E97"/>
    <w:rsid w:val="00FA05FD"/>
    <w:rsid w:val="00FA2443"/>
    <w:rsid w:val="00FA381F"/>
    <w:rsid w:val="00FA6ADC"/>
    <w:rsid w:val="00FB17D8"/>
    <w:rsid w:val="00FB1C88"/>
    <w:rsid w:val="00FB2317"/>
    <w:rsid w:val="00FB3BD7"/>
    <w:rsid w:val="00FB592C"/>
    <w:rsid w:val="00FB74BB"/>
    <w:rsid w:val="00FC1502"/>
    <w:rsid w:val="00FC434D"/>
    <w:rsid w:val="00FC440D"/>
    <w:rsid w:val="00FC5301"/>
    <w:rsid w:val="00FC5923"/>
    <w:rsid w:val="00FD0A42"/>
    <w:rsid w:val="00FD57D2"/>
    <w:rsid w:val="00FD7761"/>
    <w:rsid w:val="00FE2047"/>
    <w:rsid w:val="00FE2661"/>
    <w:rsid w:val="00FE2E91"/>
    <w:rsid w:val="00FE2F22"/>
    <w:rsid w:val="00FE6706"/>
    <w:rsid w:val="00FE72DD"/>
    <w:rsid w:val="00FE73FD"/>
    <w:rsid w:val="00FE7910"/>
    <w:rsid w:val="00FF21B8"/>
    <w:rsid w:val="00FF24D3"/>
    <w:rsid w:val="00FF3E25"/>
    <w:rsid w:val="00FF3F42"/>
    <w:rsid w:val="00FF5497"/>
    <w:rsid w:val="00FF54A1"/>
    <w:rsid w:val="00FF5F9A"/>
    <w:rsid w:val="00FF68D7"/>
    <w:rsid w:val="00FF6A31"/>
    <w:rsid w:val="00FF6E63"/>
    <w:rsid w:val="03EAC704"/>
    <w:rsid w:val="04B47672"/>
    <w:rsid w:val="08B3BFF7"/>
    <w:rsid w:val="09347559"/>
    <w:rsid w:val="0E6460E4"/>
    <w:rsid w:val="153C7B43"/>
    <w:rsid w:val="158D7828"/>
    <w:rsid w:val="166816DD"/>
    <w:rsid w:val="1829105A"/>
    <w:rsid w:val="1BEA760F"/>
    <w:rsid w:val="1D5F152A"/>
    <w:rsid w:val="1FA0714B"/>
    <w:rsid w:val="25127FAD"/>
    <w:rsid w:val="285FD55E"/>
    <w:rsid w:val="2CD144B8"/>
    <w:rsid w:val="3AE0C991"/>
    <w:rsid w:val="3D43196D"/>
    <w:rsid w:val="410F2C5F"/>
    <w:rsid w:val="414D6DC2"/>
    <w:rsid w:val="4420BF75"/>
    <w:rsid w:val="4464167C"/>
    <w:rsid w:val="45F5A6A4"/>
    <w:rsid w:val="47597F13"/>
    <w:rsid w:val="47ECFBA7"/>
    <w:rsid w:val="4B618E8E"/>
    <w:rsid w:val="4C8C17C3"/>
    <w:rsid w:val="52DD86FC"/>
    <w:rsid w:val="559B1A15"/>
    <w:rsid w:val="57283C10"/>
    <w:rsid w:val="57D84042"/>
    <w:rsid w:val="5E060107"/>
    <w:rsid w:val="6009960D"/>
    <w:rsid w:val="61B9FBB8"/>
    <w:rsid w:val="641459B4"/>
    <w:rsid w:val="652F7EA4"/>
    <w:rsid w:val="658668C2"/>
    <w:rsid w:val="68F82A00"/>
    <w:rsid w:val="6B4CA6FD"/>
    <w:rsid w:val="6C16DEF8"/>
    <w:rsid w:val="6F41DEC0"/>
    <w:rsid w:val="72C6F814"/>
    <w:rsid w:val="75365FE6"/>
    <w:rsid w:val="75C16E3D"/>
    <w:rsid w:val="75CDC487"/>
    <w:rsid w:val="7A9DD1D7"/>
    <w:rsid w:val="7EABB468"/>
    <w:rsid w:val="7EC277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C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2EC"/>
    <w:pPr>
      <w:spacing w:before="120" w:after="120"/>
    </w:pPr>
    <w:rPr>
      <w:rFonts w:ascii="Arial" w:hAnsi="Arial"/>
    </w:rPr>
  </w:style>
  <w:style w:type="paragraph" w:styleId="Heading1">
    <w:name w:val="heading 1"/>
    <w:basedOn w:val="ListParagraph"/>
    <w:next w:val="Normal"/>
    <w:link w:val="Heading1Char"/>
    <w:uiPriority w:val="9"/>
    <w:qFormat/>
    <w:rsid w:val="0093366F"/>
    <w:pPr>
      <w:numPr>
        <w:numId w:val="3"/>
      </w:numPr>
      <w:jc w:val="center"/>
      <w:outlineLvl w:val="0"/>
    </w:pPr>
    <w:rPr>
      <w:rFonts w:cs="Arial"/>
      <w:b/>
      <w:sz w:val="24"/>
      <w:szCs w:val="24"/>
    </w:rPr>
  </w:style>
  <w:style w:type="paragraph" w:styleId="Heading2">
    <w:name w:val="heading 2"/>
    <w:basedOn w:val="Normal"/>
    <w:next w:val="Normal"/>
    <w:link w:val="Heading2Char"/>
    <w:uiPriority w:val="9"/>
    <w:unhideWhenUsed/>
    <w:qFormat/>
    <w:rsid w:val="00EB5D3D"/>
    <w:pPr>
      <w:keepNext/>
      <w:spacing w:before="100" w:beforeAutospacing="1"/>
      <w:outlineLvl w:val="1"/>
    </w:pPr>
    <w:rPr>
      <w:rFonts w:cs="Arial"/>
      <w:b/>
    </w:rPr>
  </w:style>
  <w:style w:type="paragraph" w:styleId="Heading3">
    <w:name w:val="heading 3"/>
    <w:basedOn w:val="Normal"/>
    <w:next w:val="Normal"/>
    <w:link w:val="Heading3Char"/>
    <w:uiPriority w:val="9"/>
    <w:unhideWhenUsed/>
    <w:qFormat/>
    <w:rsid w:val="004922EC"/>
    <w:pPr>
      <w:keepNext/>
      <w:spacing w:before="100" w:beforeAutospacing="1" w:after="0" w:line="360" w:lineRule="auto"/>
      <w:outlineLvl w:val="2"/>
    </w:pPr>
    <w:rPr>
      <w:rFonts w:cs="Arial"/>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CA79B9"/>
    <w:pPr>
      <w:numPr>
        <w:numId w:val="1"/>
      </w:numPr>
    </w:pPr>
  </w:style>
  <w:style w:type="character" w:customStyle="1" w:styleId="Heading1Char">
    <w:name w:val="Heading 1 Char"/>
    <w:basedOn w:val="DefaultParagraphFont"/>
    <w:link w:val="Heading1"/>
    <w:uiPriority w:val="9"/>
    <w:rsid w:val="0093366F"/>
    <w:rPr>
      <w:rFonts w:ascii="Arial" w:hAnsi="Arial" w:cs="Arial"/>
      <w:b/>
      <w:sz w:val="24"/>
      <w:szCs w:val="24"/>
    </w:rPr>
  </w:style>
  <w:style w:type="paragraph" w:styleId="FootnoteText">
    <w:name w:val="footnote text"/>
    <w:basedOn w:val="Normal"/>
    <w:link w:val="FootnoteTextChar"/>
    <w:uiPriority w:val="99"/>
    <w:semiHidden/>
    <w:unhideWhenUsed/>
    <w:rsid w:val="000339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394F"/>
    <w:rPr>
      <w:sz w:val="20"/>
      <w:szCs w:val="20"/>
    </w:rPr>
  </w:style>
  <w:style w:type="character" w:styleId="FootnoteReference">
    <w:name w:val="footnote reference"/>
    <w:basedOn w:val="DefaultParagraphFont"/>
    <w:uiPriority w:val="99"/>
    <w:semiHidden/>
    <w:unhideWhenUsed/>
    <w:rsid w:val="0003394F"/>
    <w:rPr>
      <w:vertAlign w:val="superscript"/>
    </w:rPr>
  </w:style>
  <w:style w:type="paragraph" w:styleId="EndnoteText">
    <w:name w:val="endnote text"/>
    <w:basedOn w:val="Normal"/>
    <w:link w:val="EndnoteTextChar"/>
    <w:uiPriority w:val="99"/>
    <w:semiHidden/>
    <w:unhideWhenUsed/>
    <w:rsid w:val="000339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394F"/>
    <w:rPr>
      <w:sz w:val="20"/>
      <w:szCs w:val="20"/>
    </w:rPr>
  </w:style>
  <w:style w:type="character" w:styleId="EndnoteReference">
    <w:name w:val="endnote reference"/>
    <w:basedOn w:val="DefaultParagraphFont"/>
    <w:uiPriority w:val="99"/>
    <w:semiHidden/>
    <w:unhideWhenUsed/>
    <w:rsid w:val="0003394F"/>
    <w:rPr>
      <w:vertAlign w:val="superscript"/>
    </w:rPr>
  </w:style>
  <w:style w:type="paragraph" w:styleId="Header">
    <w:name w:val="header"/>
    <w:basedOn w:val="Normal"/>
    <w:link w:val="HeaderChar"/>
    <w:uiPriority w:val="99"/>
    <w:unhideWhenUsed/>
    <w:rsid w:val="00033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4F"/>
  </w:style>
  <w:style w:type="paragraph" w:styleId="Footer">
    <w:name w:val="footer"/>
    <w:basedOn w:val="Normal"/>
    <w:link w:val="FooterChar"/>
    <w:uiPriority w:val="99"/>
    <w:unhideWhenUsed/>
    <w:rsid w:val="00033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4F"/>
  </w:style>
  <w:style w:type="table" w:styleId="TableGrid">
    <w:name w:val="Table Grid"/>
    <w:basedOn w:val="TableNormal"/>
    <w:uiPriority w:val="59"/>
    <w:rsid w:val="00033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E41F2"/>
    <w:pPr>
      <w:ind w:left="720"/>
    </w:pPr>
  </w:style>
  <w:style w:type="paragraph" w:styleId="BalloonText">
    <w:name w:val="Balloon Text"/>
    <w:basedOn w:val="Normal"/>
    <w:link w:val="BalloonTextChar"/>
    <w:uiPriority w:val="99"/>
    <w:semiHidden/>
    <w:unhideWhenUsed/>
    <w:rsid w:val="00033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94F"/>
    <w:rPr>
      <w:rFonts w:ascii="Tahoma" w:hAnsi="Tahoma" w:cs="Tahoma"/>
      <w:sz w:val="16"/>
      <w:szCs w:val="16"/>
    </w:rPr>
  </w:style>
  <w:style w:type="character" w:styleId="CommentReference">
    <w:name w:val="annotation reference"/>
    <w:basedOn w:val="DefaultParagraphFont"/>
    <w:uiPriority w:val="99"/>
    <w:semiHidden/>
    <w:unhideWhenUsed/>
    <w:rsid w:val="0003394F"/>
    <w:rPr>
      <w:sz w:val="16"/>
      <w:szCs w:val="16"/>
    </w:rPr>
  </w:style>
  <w:style w:type="paragraph" w:styleId="CommentText">
    <w:name w:val="annotation text"/>
    <w:basedOn w:val="Normal"/>
    <w:link w:val="CommentTextChar"/>
    <w:uiPriority w:val="99"/>
    <w:unhideWhenUsed/>
    <w:rsid w:val="0003394F"/>
    <w:pPr>
      <w:spacing w:line="240" w:lineRule="auto"/>
    </w:pPr>
    <w:rPr>
      <w:sz w:val="20"/>
      <w:szCs w:val="20"/>
    </w:rPr>
  </w:style>
  <w:style w:type="character" w:customStyle="1" w:styleId="CommentTextChar">
    <w:name w:val="Comment Text Char"/>
    <w:basedOn w:val="DefaultParagraphFont"/>
    <w:link w:val="CommentText"/>
    <w:uiPriority w:val="99"/>
    <w:rsid w:val="0003394F"/>
    <w:rPr>
      <w:sz w:val="20"/>
      <w:szCs w:val="20"/>
    </w:rPr>
  </w:style>
  <w:style w:type="paragraph" w:styleId="CommentSubject">
    <w:name w:val="annotation subject"/>
    <w:basedOn w:val="CommentText"/>
    <w:next w:val="CommentText"/>
    <w:link w:val="CommentSubjectChar"/>
    <w:uiPriority w:val="99"/>
    <w:semiHidden/>
    <w:unhideWhenUsed/>
    <w:rsid w:val="0003394F"/>
    <w:rPr>
      <w:b/>
      <w:bCs/>
    </w:rPr>
  </w:style>
  <w:style w:type="character" w:customStyle="1" w:styleId="CommentSubjectChar">
    <w:name w:val="Comment Subject Char"/>
    <w:basedOn w:val="CommentTextChar"/>
    <w:link w:val="CommentSubject"/>
    <w:uiPriority w:val="99"/>
    <w:semiHidden/>
    <w:rsid w:val="0003394F"/>
    <w:rPr>
      <w:b/>
      <w:bCs/>
      <w:sz w:val="20"/>
      <w:szCs w:val="20"/>
    </w:rPr>
  </w:style>
  <w:style w:type="paragraph" w:styleId="NormalWeb">
    <w:name w:val="Normal (Web)"/>
    <w:basedOn w:val="Normal"/>
    <w:uiPriority w:val="99"/>
    <w:semiHidden/>
    <w:unhideWhenUsed/>
    <w:rsid w:val="0003394F"/>
    <w:pPr>
      <w:spacing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03394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03394F"/>
    <w:rPr>
      <w:color w:val="808080"/>
    </w:rPr>
  </w:style>
  <w:style w:type="paragraph" w:styleId="NoSpacing">
    <w:name w:val="No Spacing"/>
    <w:uiPriority w:val="1"/>
    <w:qFormat/>
    <w:rsid w:val="006E41F2"/>
    <w:pPr>
      <w:spacing w:after="0" w:line="240" w:lineRule="auto"/>
    </w:pPr>
    <w:rPr>
      <w:rFonts w:ascii="Arial" w:hAnsi="Arial" w:cs="Times New Roman"/>
    </w:rPr>
  </w:style>
  <w:style w:type="paragraph" w:styleId="Revision">
    <w:name w:val="Revision"/>
    <w:hidden/>
    <w:uiPriority w:val="99"/>
    <w:semiHidden/>
    <w:rsid w:val="0003394F"/>
    <w:pPr>
      <w:spacing w:after="0" w:line="240" w:lineRule="auto"/>
    </w:pPr>
  </w:style>
  <w:style w:type="character" w:customStyle="1" w:styleId="zzmpTrailerItem">
    <w:name w:val="zzmpTrailerItem"/>
    <w:basedOn w:val="DefaultParagraphFont"/>
    <w:rsid w:val="004421FF"/>
    <w:rPr>
      <w:rFonts w:ascii="Calibri" w:hAnsi="Calibri" w:cs="Calibri"/>
      <w:dstrike w:val="0"/>
      <w:noProof/>
      <w:color w:val="auto"/>
      <w:spacing w:val="0"/>
      <w:position w:val="0"/>
      <w:sz w:val="16"/>
      <w:szCs w:val="16"/>
      <w:u w:val="none"/>
      <w:effect w:val="none"/>
      <w:vertAlign w:val="baseline"/>
    </w:rPr>
  </w:style>
  <w:style w:type="character" w:styleId="Emphasis">
    <w:name w:val="Emphasis"/>
    <w:basedOn w:val="DefaultParagraphFont"/>
    <w:uiPriority w:val="20"/>
    <w:rsid w:val="00E605A7"/>
    <w:rPr>
      <w:i/>
      <w:iCs/>
    </w:rPr>
  </w:style>
  <w:style w:type="character" w:customStyle="1" w:styleId="Heading2Char">
    <w:name w:val="Heading 2 Char"/>
    <w:basedOn w:val="DefaultParagraphFont"/>
    <w:link w:val="Heading2"/>
    <w:uiPriority w:val="9"/>
    <w:rsid w:val="00EB5D3D"/>
    <w:rPr>
      <w:rFonts w:ascii="Arial" w:hAnsi="Arial" w:cs="Arial"/>
      <w:b/>
    </w:rPr>
  </w:style>
  <w:style w:type="paragraph" w:styleId="Caption">
    <w:name w:val="caption"/>
    <w:basedOn w:val="Normal"/>
    <w:next w:val="Normal"/>
    <w:uiPriority w:val="35"/>
    <w:unhideWhenUsed/>
    <w:qFormat/>
    <w:rsid w:val="006E41F2"/>
    <w:pPr>
      <w:spacing w:before="0" w:after="200" w:line="240" w:lineRule="auto"/>
    </w:pPr>
    <w:rPr>
      <w:i/>
      <w:iCs/>
      <w:color w:val="1F497D" w:themeColor="text2"/>
      <w:sz w:val="18"/>
      <w:szCs w:val="18"/>
    </w:rPr>
  </w:style>
  <w:style w:type="character" w:customStyle="1" w:styleId="Heading3Char">
    <w:name w:val="Heading 3 Char"/>
    <w:basedOn w:val="DefaultParagraphFont"/>
    <w:link w:val="Heading3"/>
    <w:uiPriority w:val="9"/>
    <w:rsid w:val="004922EC"/>
    <w:rPr>
      <w:rFonts w:ascii="Arial" w:hAnsi="Arial" w:cs="Arial"/>
      <w:b/>
      <w:i/>
      <w:iCs/>
    </w:rPr>
  </w:style>
  <w:style w:type="character" w:styleId="Hyperlink">
    <w:name w:val="Hyperlink"/>
    <w:basedOn w:val="DefaultParagraphFont"/>
    <w:uiPriority w:val="99"/>
    <w:unhideWhenUsed/>
    <w:rsid w:val="006C6495"/>
    <w:rPr>
      <w:color w:val="0000FF" w:themeColor="hyperlink"/>
      <w:u w:val="single"/>
    </w:rPr>
  </w:style>
  <w:style w:type="paragraph" w:styleId="TOC1">
    <w:name w:val="toc 1"/>
    <w:basedOn w:val="Normal"/>
    <w:next w:val="Normal"/>
    <w:autoRedefine/>
    <w:uiPriority w:val="39"/>
    <w:unhideWhenUsed/>
    <w:rsid w:val="00B6461F"/>
    <w:pPr>
      <w:tabs>
        <w:tab w:val="left" w:pos="1540"/>
        <w:tab w:val="right" w:leader="dot" w:pos="9350"/>
      </w:tabs>
    </w:pPr>
  </w:style>
  <w:style w:type="paragraph" w:styleId="TOC2">
    <w:name w:val="toc 2"/>
    <w:basedOn w:val="Normal"/>
    <w:next w:val="Normal"/>
    <w:autoRedefine/>
    <w:uiPriority w:val="39"/>
    <w:unhideWhenUsed/>
    <w:rsid w:val="000A000D"/>
    <w:pPr>
      <w:ind w:left="220"/>
    </w:pPr>
  </w:style>
  <w:style w:type="paragraph" w:styleId="TOC3">
    <w:name w:val="toc 3"/>
    <w:basedOn w:val="Normal"/>
    <w:next w:val="Normal"/>
    <w:autoRedefine/>
    <w:uiPriority w:val="39"/>
    <w:unhideWhenUsed/>
    <w:rsid w:val="000A000D"/>
    <w:pPr>
      <w:ind w:left="440"/>
    </w:pPr>
  </w:style>
  <w:style w:type="paragraph" w:customStyle="1" w:styleId="Bullet1">
    <w:name w:val="Bullet 1"/>
    <w:basedOn w:val="ListParagraph"/>
    <w:link w:val="Bullet1Char"/>
    <w:qFormat/>
    <w:rsid w:val="0051721D"/>
    <w:pPr>
      <w:numPr>
        <w:numId w:val="5"/>
      </w:numPr>
    </w:pPr>
    <w:rPr>
      <w:bCs/>
    </w:rPr>
  </w:style>
  <w:style w:type="character" w:customStyle="1" w:styleId="ListParagraphChar">
    <w:name w:val="List Paragraph Char"/>
    <w:basedOn w:val="DefaultParagraphFont"/>
    <w:link w:val="ListParagraph"/>
    <w:uiPriority w:val="34"/>
    <w:rsid w:val="0051721D"/>
    <w:rPr>
      <w:rFonts w:ascii="Arial" w:hAnsi="Arial"/>
    </w:rPr>
  </w:style>
  <w:style w:type="character" w:customStyle="1" w:styleId="Bullet1Char">
    <w:name w:val="Bullet 1 Char"/>
    <w:basedOn w:val="ListParagraphChar"/>
    <w:link w:val="Bullet1"/>
    <w:rsid w:val="0051721D"/>
    <w:rPr>
      <w:rFonts w:ascii="Arial" w:hAnsi="Arial"/>
      <w:bCs/>
    </w:rPr>
  </w:style>
  <w:style w:type="character" w:styleId="Mention">
    <w:name w:val="Mention"/>
    <w:basedOn w:val="DefaultParagraphFont"/>
    <w:uiPriority w:val="99"/>
    <w:unhideWhenUsed/>
    <w:rsid w:val="00043EB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646775">
      <w:bodyDiv w:val="1"/>
      <w:marLeft w:val="0"/>
      <w:marRight w:val="0"/>
      <w:marTop w:val="0"/>
      <w:marBottom w:val="0"/>
      <w:divBdr>
        <w:top w:val="none" w:sz="0" w:space="0" w:color="auto"/>
        <w:left w:val="none" w:sz="0" w:space="0" w:color="auto"/>
        <w:bottom w:val="none" w:sz="0" w:space="0" w:color="auto"/>
        <w:right w:val="none" w:sz="0" w:space="0" w:color="auto"/>
      </w:divBdr>
    </w:div>
    <w:div w:id="80107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7E26E8-A37B-4868-9608-846DBF7DAE43}">
  <ds:schemaRefs>
    <ds:schemaRef ds:uri="http://schemas.openxmlformats.org/officeDocument/2006/bibliography"/>
  </ds:schemaRefs>
</ds:datastoreItem>
</file>

<file path=customXml/itemProps2.xml><?xml version="1.0" encoding="utf-8"?>
<ds:datastoreItem xmlns:ds="http://schemas.openxmlformats.org/officeDocument/2006/customXml" ds:itemID="{5B29D009-C418-4AB3-90C9-55105ACF7F5F}">
  <ds:schemaRefs>
    <ds:schemaRef ds:uri="http://purl.org/dc/elements/1.1/"/>
    <ds:schemaRef ds:uri="http://schemas.microsoft.com/office/2006/documentManagement/types"/>
    <ds:schemaRef ds:uri="http://purl.org/dc/terms/"/>
    <ds:schemaRef ds:uri="850be1ec-5fef-4875-bb69-1b2609bd8d8f"/>
    <ds:schemaRef ds:uri="http://schemas.microsoft.com/office/infopath/2007/PartnerControls"/>
    <ds:schemaRef ds:uri="http://schemas.openxmlformats.org/package/2006/metadata/core-properties"/>
    <ds:schemaRef ds:uri="http://www.w3.org/XML/1998/namespace"/>
    <ds:schemaRef ds:uri="http://schemas.microsoft.com/office/2006/metadata/properties"/>
    <ds:schemaRef ds:uri="cda97204-12a4-4db8-9438-c29916e3b7f9"/>
    <ds:schemaRef ds:uri="http://purl.org/dc/dcmitype/"/>
  </ds:schemaRefs>
</ds:datastoreItem>
</file>

<file path=customXml/itemProps3.xml><?xml version="1.0" encoding="utf-8"?>
<ds:datastoreItem xmlns:ds="http://schemas.openxmlformats.org/officeDocument/2006/customXml" ds:itemID="{B953DAF3-B23D-4245-95CE-1AD99A1219CE}">
  <ds:schemaRefs>
    <ds:schemaRef ds:uri="http://schemas.microsoft.com/sharepoint/v3/contenttype/forms"/>
  </ds:schemaRefs>
</ds:datastoreItem>
</file>

<file path=customXml/itemProps4.xml><?xml version="1.0" encoding="utf-8"?>
<ds:datastoreItem xmlns:ds="http://schemas.openxmlformats.org/officeDocument/2006/customXml" ds:itemID="{991C05FC-C48B-4BD7-A2BE-476788027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7204-12a4-4db8-9438-c29916e3b7f9"/>
    <ds:schemaRef ds:uri="850be1ec-5fef-4875-bb69-1b2609bd8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3846</Words>
  <Characters>21927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25722</CharactersWithSpaces>
  <SharedDoc>false</SharedDoc>
  <HLinks>
    <vt:vector size="30" baseType="variant">
      <vt:variant>
        <vt:i4>1376307</vt:i4>
      </vt:variant>
      <vt:variant>
        <vt:i4>26</vt:i4>
      </vt:variant>
      <vt:variant>
        <vt:i4>0</vt:i4>
      </vt:variant>
      <vt:variant>
        <vt:i4>5</vt:i4>
      </vt:variant>
      <vt:variant>
        <vt:lpwstr/>
      </vt:variant>
      <vt:variant>
        <vt:lpwstr>_Toc163569786</vt:lpwstr>
      </vt:variant>
      <vt:variant>
        <vt:i4>1376307</vt:i4>
      </vt:variant>
      <vt:variant>
        <vt:i4>20</vt:i4>
      </vt:variant>
      <vt:variant>
        <vt:i4>0</vt:i4>
      </vt:variant>
      <vt:variant>
        <vt:i4>5</vt:i4>
      </vt:variant>
      <vt:variant>
        <vt:lpwstr/>
      </vt:variant>
      <vt:variant>
        <vt:lpwstr>_Toc163569785</vt:lpwstr>
      </vt:variant>
      <vt:variant>
        <vt:i4>1376307</vt:i4>
      </vt:variant>
      <vt:variant>
        <vt:i4>14</vt:i4>
      </vt:variant>
      <vt:variant>
        <vt:i4>0</vt:i4>
      </vt:variant>
      <vt:variant>
        <vt:i4>5</vt:i4>
      </vt:variant>
      <vt:variant>
        <vt:lpwstr/>
      </vt:variant>
      <vt:variant>
        <vt:lpwstr>_Toc163569784</vt:lpwstr>
      </vt:variant>
      <vt:variant>
        <vt:i4>1376307</vt:i4>
      </vt:variant>
      <vt:variant>
        <vt:i4>8</vt:i4>
      </vt:variant>
      <vt:variant>
        <vt:i4>0</vt:i4>
      </vt:variant>
      <vt:variant>
        <vt:i4>5</vt:i4>
      </vt:variant>
      <vt:variant>
        <vt:lpwstr/>
      </vt:variant>
      <vt:variant>
        <vt:lpwstr>_Toc163569783</vt:lpwstr>
      </vt:variant>
      <vt:variant>
        <vt:i4>1376307</vt:i4>
      </vt:variant>
      <vt:variant>
        <vt:i4>2</vt:i4>
      </vt:variant>
      <vt:variant>
        <vt:i4>0</vt:i4>
      </vt:variant>
      <vt:variant>
        <vt:i4>5</vt:i4>
      </vt:variant>
      <vt:variant>
        <vt:lpwstr/>
      </vt:variant>
      <vt:variant>
        <vt:lpwstr>_Toc163569782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2025-01-22T20:21:00Z</dcterms:created>
  <dcterms:modified xsi:type="dcterms:W3CDTF">2025-01-22T20:22:00Z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2025-01-22T20:22:11Z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ec007a13-d0be-4a09-b10c-6d33e3e857b1</vt:lpwstr>
  </property>
  <property fmtid="{D5CDD505-2E9C-101B-9397-08002B2CF9AE}" pid="8" name="MSIP_Label_ed3826ce-7c18-471d-9596-93de5bae332e_ContentBits">
    <vt:lpwstr>0</vt:lpwstr>
  </property>
  <property fmtid="{D5CDD505-2E9C-101B-9397-08002B2CF9AE}" pid="9" name="ContentTypeId">
    <vt:lpwstr>0x0101006E022C42DF2B2F42B01720971598790C</vt:lpwstr>
  </property>
  <property fmtid="{D5CDD505-2E9C-101B-9397-08002B2CF9AE}" pid="10" name="_MarkAsFinal">
    <vt:bool>true</vt:bool>
  </property>
</Properties>
</file>